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Commercial Curbside Level 2 Charging in Alexandria, Virginia</w:t>
      </w:r>
    </w:p>
    <w:p>
      <w:pPr>
        <w:pStyle w:val="Subtitle2"/>
        <w:jc w:val="center"/>
      </w:pPr>
      <w:r>
        <w:t>Break-even pricing, electricity cost, and utilization analysis for public right-of-way operators</w:t>
      </w:r>
    </w:p>
    <w:p>
      <w:pPr>
        <w:jc w:val="center"/>
      </w:pPr>
      <w:r>
        <w:rPr>
          <w:color w:val="5A5A5A"/>
          <w:sz w:val="18"/>
        </w:rPr>
        <w:t>Working policy analysis | August 2026</w:t>
      </w:r>
    </w:p>
    <w:tbl>
      <w:tblPr>
        <w:tblW w:type="auto" w:w="0"/>
        <w:jc w:val="center"/>
        <w:tblLayout w:type="autofit"/>
        <w:tblLook w:firstColumn="1" w:firstRow="1" w:lastColumn="0" w:lastRow="0" w:noHBand="0" w:noVBand="1" w:val="04A0"/>
      </w:tblPr>
      <w:tblGrid>
        <w:gridCol w:w="3504"/>
        <w:gridCol w:w="3504"/>
        <w:gridCol w:w="3504"/>
      </w:tblGrid>
      <w:tr>
        <w:tc>
          <w:tcPr>
            <w:tcW w:type="dxa" w:w="3504"/>
            <w:shd w:fill="EAF3E8"/>
            <w:tcMar>
              <w:top w:w="90" w:type="dxa"/>
              <w:start w:w="100" w:type="dxa"/>
              <w:bottom w:w="90" w:type="dxa"/>
              <w:end w:w="100" w:type="dxa"/>
            </w:tcMar>
          </w:tcPr>
          <w:p>
            <w:pPr>
              <w:spacing w:after="0"/>
            </w:pPr>
            <w:r>
              <w:rPr>
                <w:rFonts w:ascii="Aptos" w:hAnsi="Aptos"/>
                <w:b w:val="0"/>
                <w:sz w:val="20"/>
              </w:rPr>
              <w:t>Baseline electricity cost</w:t>
            </w:r>
          </w:p>
        </w:tc>
        <w:tc>
          <w:tcPr>
            <w:tcW w:type="dxa" w:w="3504"/>
            <w:shd w:fill="EAF3E8"/>
            <w:tcMar>
              <w:top w:w="90" w:type="dxa"/>
              <w:start w:w="100" w:type="dxa"/>
              <w:bottom w:w="90" w:type="dxa"/>
              <w:end w:w="100" w:type="dxa"/>
            </w:tcMar>
          </w:tcPr>
          <w:p>
            <w:pPr>
              <w:spacing w:after="0"/>
            </w:pPr>
            <w:r>
              <w:rPr>
                <w:rFonts w:ascii="Aptos" w:hAnsi="Aptos"/>
                <w:b/>
                <w:sz w:val="24"/>
              </w:rPr>
              <w:t>~16.4¢/delivered kWh</w:t>
            </w:r>
          </w:p>
        </w:tc>
        <w:tc>
          <w:tcPr>
            <w:tcW w:type="dxa" w:w="3504"/>
            <w:shd w:fill="EAF3E8"/>
            <w:tcMar>
              <w:top w:w="90" w:type="dxa"/>
              <w:start w:w="100" w:type="dxa"/>
              <w:bottom w:w="90" w:type="dxa"/>
              <w:end w:w="100" w:type="dxa"/>
            </w:tcMar>
          </w:tcPr>
          <w:p>
            <w:pPr>
              <w:spacing w:after="0"/>
            </w:pPr>
            <w:r>
              <w:rPr>
                <w:rFonts w:ascii="Aptos" w:hAnsi="Aptos"/>
                <w:b w:val="0"/>
                <w:sz w:val="20"/>
              </w:rPr>
              <w:t>Direct Dominion GS-1, 20% utilization</w:t>
            </w:r>
          </w:p>
        </w:tc>
      </w:tr>
      <w:tr>
        <w:tc>
          <w:tcPr>
            <w:tcW w:type="dxa" w:w="3504"/>
            <w:shd w:fill="EAF3E8"/>
            <w:tcMar>
              <w:top w:w="90" w:type="dxa"/>
              <w:start w:w="100" w:type="dxa"/>
              <w:bottom w:w="90" w:type="dxa"/>
              <w:end w:w="100" w:type="dxa"/>
            </w:tcMar>
          </w:tcPr>
          <w:p>
            <w:pPr>
              <w:spacing w:after="0"/>
            </w:pPr>
            <w:r>
              <w:rPr>
                <w:rFonts w:ascii="Aptos" w:hAnsi="Aptos"/>
                <w:b w:val="0"/>
                <w:sz w:val="20"/>
              </w:rPr>
              <w:t>Annual electricity spend</w:t>
            </w:r>
          </w:p>
        </w:tc>
        <w:tc>
          <w:tcPr>
            <w:tcW w:type="dxa" w:w="3504"/>
            <w:shd w:fill="EAF3E8"/>
            <w:tcMar>
              <w:top w:w="90" w:type="dxa"/>
              <w:start w:w="100" w:type="dxa"/>
              <w:bottom w:w="90" w:type="dxa"/>
              <w:end w:w="100" w:type="dxa"/>
            </w:tcMar>
          </w:tcPr>
          <w:p>
            <w:pPr>
              <w:spacing w:after="0"/>
            </w:pPr>
            <w:r>
              <w:rPr>
                <w:rFonts w:ascii="Aptos" w:hAnsi="Aptos"/>
                <w:b/>
                <w:sz w:val="24"/>
              </w:rPr>
              <w:t>~$2,190/port-year</w:t>
            </w:r>
          </w:p>
        </w:tc>
        <w:tc>
          <w:tcPr>
            <w:tcW w:type="dxa" w:w="3504"/>
            <w:shd w:fill="EAF3E8"/>
            <w:tcMar>
              <w:top w:w="90" w:type="dxa"/>
              <w:start w:w="100" w:type="dxa"/>
              <w:bottom w:w="90" w:type="dxa"/>
              <w:end w:w="100" w:type="dxa"/>
            </w:tcMar>
          </w:tcPr>
          <w:p>
            <w:pPr>
              <w:spacing w:after="0"/>
            </w:pPr>
            <w:r>
              <w:rPr>
                <w:rFonts w:ascii="Aptos" w:hAnsi="Aptos"/>
                <w:b w:val="0"/>
                <w:sz w:val="20"/>
              </w:rPr>
              <w:t>7.6 kW port, 20% utilization</w:t>
            </w:r>
          </w:p>
        </w:tc>
      </w:tr>
    </w:tbl>
    <w:p/>
    <w:p>
      <w:pPr>
        <w:pStyle w:val="Heading1"/>
      </w:pPr>
      <w:r>
        <w:t>Executive summary</w:t>
      </w:r>
    </w:p>
    <w:p>
      <w:r>
        <w:rPr>
          <w:b/>
        </w:rPr>
        <w:t xml:space="preserve">Alexandria's curbside charging program can support commercially viable Level 2 charging, but utilization and installation cost dominate the economics. </w:t>
      </w:r>
      <w:r>
        <w:t>For a 7.6 kW curbside port served directly under Dominion Energy Virginia's small-general-service tariff, this analysis uses a rounded 14.0¢/metered-kWh electricity input. After an assumed 8% electrical loss and the $13.39 monthly GS-1 customer charge, electricity costs approximately 16.4¢ per delivered kWh at 20% utilization, or about $2,190 per charger per year. The theoretical high-utilization floor is about 15.2¢ per delivered kWh before the fixed customer charge.</w:t>
      </w:r>
    </w:p>
    <w:p>
      <w:r>
        <w:rPr>
          <w:b/>
        </w:rPr>
        <w:t xml:space="preserve">The central commercial case is </w:t>
      </w:r>
      <w:r>
        <w:t>$7,500 installed cost per port, a five-year economic life, 10% required capital return, $1,250 per year in fixed operations and maintenance costs, and a 5% revenue-processing allowance. Under those assumptions, break-even retail pricing is approximately 52¢/kWh at 15% utilization, 43¢ at 20%, 38¢ at 25%, and 34¢ at 30%. A best-case $3,000 installation reduces break-even pricing to about 39¢, 33¢, 30¢, and 28¢ at the same utilization levels.</w:t>
      </w:r>
    </w:p>
    <w:p>
      <w:r>
        <w:rPr>
          <w:b/>
        </w:rPr>
        <w:t xml:space="preserve">The policy implication is straightforward: </w:t>
      </w:r>
      <w:r>
        <w:t>once installed cost is reasonably low, site utilization matters more than small changes in permit fees or charger hardware. A city program that helps operators identify high-demand blocks, minimizes make-ready uncertainty, and allows inexpensive building-powered connections can materially improve economics.</w:t>
      </w:r>
    </w:p>
    <w:p>
      <w:pPr>
        <w:pStyle w:val="Heading1"/>
      </w:pPr>
      <w:r>
        <w:t>1. Alexandria program context</w:t>
      </w:r>
    </w:p>
    <w:p>
      <w:r>
        <w:t>Alexandria approved a curbside EV charging program in February 2026. Qualified vendors may install publicly accessible chargers in the public right-of-way at no cost to the City, and vendors are responsible for installation, maintenance, and customer service. The City's initial license term is five years, beginning after final inspection of each charger. The agreement also permits third-party site-host arrangements for electrical power, subject to recording and assignment requirements.</w:t>
      </w:r>
    </w:p>
    <w:p>
      <w:r>
        <w:t>The City's insurance requirements are broader than a single $1 million liability policy. They include commercial general liability of $1 million per occurrence and $2 million aggregate, $1 million automobile liability, a $2 million umbrella, workers' compensation, and cyber coverage. For a scaled charging operator, these are treated here as portfolio-level costs allocated across ports rather than as a full stand-alone insurance premium charged to every charger.</w:t>
      </w:r>
    </w:p>
    <w:p>
      <w:pPr>
        <w:pStyle w:val="Heading1"/>
      </w:pPr>
      <w:r>
        <w:t>2. Electricity cost</w:t>
      </w:r>
    </w:p>
    <w:p>
      <w:r>
        <w:t>A single 7.6 kW curbside charger should ordinarily fit Dominion Energy Virginia Schedule GS-1, which applies to nonresidential customers that do not repeatedly reach 30 kW of peak demand. GS-1 has a fixed customer charge plus distribution, generation, transmission, and applicable rider charges. Generation rates vary by season and by whether monthly usage exceeds 1,400 kWh.</w:t>
      </w:r>
    </w:p>
    <w:p>
      <w:r>
        <w:rPr>
          <w:b/>
        </w:rPr>
        <w:t xml:space="preserve">Modeling treatment. </w:t>
      </w:r>
      <w:r>
        <w:t>Because the filed tariff is a stack of base rates and changing riders rather than a single quoted commercial energy price, the analysis uses a rounded annualized input of 14.0¢ per metered kWh. This is a modeling value calibrated to the current GS-1 structure, not a quoted Dominion flat rate. The model adds the $13.39 monthly customer charge and assumes 8% losses between metered electricity and energy delivered to vehicles.</w:t>
      </w:r>
    </w:p>
    <w:tbl>
      <w:tblPr>
        <w:tblStyle w:val="TableGrid"/>
        <w:tblW w:type="auto" w:w="0"/>
        <w:jc w:val="center"/>
        <w:tblLook w:firstColumn="1" w:firstRow="1" w:lastColumn="0" w:lastRow="0" w:noHBand="0" w:noVBand="1" w:val="04A0"/>
      </w:tblPr>
      <w:tblGrid>
        <w:gridCol w:w="2102"/>
        <w:gridCol w:w="2102"/>
        <w:gridCol w:w="2102"/>
        <w:gridCol w:w="2102"/>
        <w:gridCol w:w="2102"/>
      </w:tblGrid>
      <w:tr>
        <w:tc>
          <w:tcPr>
            <w:tcW w:type="dxa" w:w="2102"/>
            <w:vAlign w:val="center"/>
            <w:tcMar>
              <w:top w:w="60" w:type="dxa"/>
              <w:start w:w="80" w:type="dxa"/>
              <w:bottom w:w="60" w:type="dxa"/>
              <w:end w:w="80" w:type="dxa"/>
            </w:tcMar>
            <w:shd w:fill="D9EAF7"/>
          </w:tcPr>
          <w:p>
            <w:pPr>
              <w:spacing w:after="0" w:before="0"/>
            </w:pPr>
            <w:r>
              <w:rPr>
                <w:rFonts w:ascii="Aptos" w:hAnsi="Aptos"/>
                <w:b/>
                <w:sz w:val="17"/>
              </w:rPr>
              <w:t>Utilization</w:t>
            </w:r>
          </w:p>
        </w:tc>
        <w:tc>
          <w:tcPr>
            <w:tcW w:type="dxa" w:w="2102"/>
            <w:vAlign w:val="center"/>
            <w:tcMar>
              <w:top w:w="60" w:type="dxa"/>
              <w:start w:w="80" w:type="dxa"/>
              <w:bottom w:w="60" w:type="dxa"/>
              <w:end w:w="80" w:type="dxa"/>
            </w:tcMar>
            <w:shd w:fill="D9EAF7"/>
          </w:tcPr>
          <w:p>
            <w:pPr>
              <w:spacing w:after="0" w:before="0"/>
            </w:pPr>
            <w:r>
              <w:rPr>
                <w:rFonts w:ascii="Aptos" w:hAnsi="Aptos"/>
                <w:b/>
                <w:sz w:val="17"/>
              </w:rPr>
              <w:t>Delivered kWh/yr</w:t>
            </w:r>
          </w:p>
        </w:tc>
        <w:tc>
          <w:tcPr>
            <w:tcW w:type="dxa" w:w="2102"/>
            <w:vAlign w:val="center"/>
            <w:tcMar>
              <w:top w:w="60" w:type="dxa"/>
              <w:start w:w="80" w:type="dxa"/>
              <w:bottom w:w="60" w:type="dxa"/>
              <w:end w:w="80" w:type="dxa"/>
            </w:tcMar>
            <w:shd w:fill="D9EAF7"/>
          </w:tcPr>
          <w:p>
            <w:pPr>
              <w:spacing w:after="0" w:before="0"/>
            </w:pPr>
            <w:r>
              <w:rPr>
                <w:rFonts w:ascii="Aptos" w:hAnsi="Aptos"/>
                <w:b/>
                <w:sz w:val="17"/>
              </w:rPr>
              <w:t>Metered kWh/yr</w:t>
            </w:r>
          </w:p>
        </w:tc>
        <w:tc>
          <w:tcPr>
            <w:tcW w:type="dxa" w:w="2102"/>
            <w:vAlign w:val="center"/>
            <w:tcMar>
              <w:top w:w="60" w:type="dxa"/>
              <w:start w:w="80" w:type="dxa"/>
              <w:bottom w:w="60" w:type="dxa"/>
              <w:end w:w="80" w:type="dxa"/>
            </w:tcMar>
            <w:shd w:fill="D9EAF7"/>
          </w:tcPr>
          <w:p>
            <w:pPr>
              <w:spacing w:after="0" w:before="0"/>
            </w:pPr>
            <w:r>
              <w:rPr>
                <w:rFonts w:ascii="Aptos" w:hAnsi="Aptos"/>
                <w:b/>
                <w:sz w:val="17"/>
              </w:rPr>
              <w:t>Electricity $/yr</w:t>
            </w:r>
          </w:p>
        </w:tc>
        <w:tc>
          <w:tcPr>
            <w:tcW w:type="dxa" w:w="2102"/>
            <w:vAlign w:val="center"/>
            <w:tcMar>
              <w:top w:w="60" w:type="dxa"/>
              <w:start w:w="80" w:type="dxa"/>
              <w:bottom w:w="60" w:type="dxa"/>
              <w:end w:w="80" w:type="dxa"/>
            </w:tcMar>
            <w:shd w:fill="D9EAF7"/>
          </w:tcPr>
          <w:p>
            <w:pPr>
              <w:spacing w:after="0" w:before="0"/>
            </w:pPr>
            <w:r>
              <w:rPr>
                <w:rFonts w:ascii="Aptos" w:hAnsi="Aptos"/>
                <w:b/>
                <w:sz w:val="17"/>
              </w:rPr>
              <w:t>Electricity ¢/delivered kWh</w:t>
            </w:r>
          </w:p>
        </w:tc>
      </w:tr>
      <w:tr>
        <w:tc>
          <w:tcPr>
            <w:tcW w:type="dxa" w:w="2102"/>
            <w:vAlign w:val="center"/>
            <w:tcMar>
              <w:top w:w="60" w:type="dxa"/>
              <w:start w:w="80" w:type="dxa"/>
              <w:bottom w:w="60" w:type="dxa"/>
              <w:end w:w="80" w:type="dxa"/>
            </w:tcMar>
          </w:tcPr>
          <w:p>
            <w:pPr>
              <w:spacing w:after="0" w:before="0"/>
            </w:pPr>
            <w:r>
              <w:rPr>
                <w:rFonts w:ascii="Aptos" w:hAnsi="Aptos"/>
                <w:sz w:val="17"/>
              </w:rPr>
              <w:t>10%</w:t>
            </w:r>
          </w:p>
        </w:tc>
        <w:tc>
          <w:tcPr>
            <w:tcW w:type="dxa" w:w="2102"/>
            <w:vAlign w:val="center"/>
            <w:tcMar>
              <w:top w:w="60" w:type="dxa"/>
              <w:start w:w="80" w:type="dxa"/>
              <w:bottom w:w="60" w:type="dxa"/>
              <w:end w:w="80" w:type="dxa"/>
            </w:tcMar>
          </w:tcPr>
          <w:p>
            <w:pPr>
              <w:spacing w:after="0" w:before="0"/>
            </w:pPr>
            <w:r>
              <w:rPr>
                <w:rFonts w:ascii="Aptos" w:hAnsi="Aptos"/>
                <w:sz w:val="17"/>
              </w:rPr>
              <w:t>6,658</w:t>
            </w:r>
          </w:p>
        </w:tc>
        <w:tc>
          <w:tcPr>
            <w:tcW w:type="dxa" w:w="2102"/>
            <w:vAlign w:val="center"/>
            <w:tcMar>
              <w:top w:w="60" w:type="dxa"/>
              <w:start w:w="80" w:type="dxa"/>
              <w:bottom w:w="60" w:type="dxa"/>
              <w:end w:w="80" w:type="dxa"/>
            </w:tcMar>
          </w:tcPr>
          <w:p>
            <w:pPr>
              <w:spacing w:after="0" w:before="0"/>
            </w:pPr>
            <w:r>
              <w:rPr>
                <w:rFonts w:ascii="Aptos" w:hAnsi="Aptos"/>
                <w:sz w:val="17"/>
              </w:rPr>
              <w:t>7,237</w:t>
            </w:r>
          </w:p>
        </w:tc>
        <w:tc>
          <w:tcPr>
            <w:tcW w:type="dxa" w:w="2102"/>
            <w:vAlign w:val="center"/>
            <w:tcMar>
              <w:top w:w="60" w:type="dxa"/>
              <w:start w:w="80" w:type="dxa"/>
              <w:bottom w:w="60" w:type="dxa"/>
              <w:end w:w="80" w:type="dxa"/>
            </w:tcMar>
          </w:tcPr>
          <w:p>
            <w:pPr>
              <w:spacing w:after="0" w:before="0"/>
            </w:pPr>
            <w:r>
              <w:rPr>
                <w:rFonts w:ascii="Aptos" w:hAnsi="Aptos"/>
                <w:sz w:val="17"/>
              </w:rPr>
              <w:t>$1,174</w:t>
            </w:r>
          </w:p>
        </w:tc>
        <w:tc>
          <w:tcPr>
            <w:tcW w:type="dxa" w:w="2102"/>
            <w:vAlign w:val="center"/>
            <w:tcMar>
              <w:top w:w="60" w:type="dxa"/>
              <w:start w:w="80" w:type="dxa"/>
              <w:bottom w:w="60" w:type="dxa"/>
              <w:end w:w="80" w:type="dxa"/>
            </w:tcMar>
          </w:tcPr>
          <w:p>
            <w:pPr>
              <w:spacing w:after="0" w:before="0"/>
            </w:pPr>
            <w:r>
              <w:rPr>
                <w:rFonts w:ascii="Aptos" w:hAnsi="Aptos"/>
                <w:sz w:val="17"/>
              </w:rPr>
              <w:t>17.6¢</w:t>
            </w:r>
          </w:p>
        </w:tc>
      </w:tr>
      <w:tr>
        <w:tc>
          <w:tcPr>
            <w:tcW w:type="dxa" w:w="2102"/>
            <w:vAlign w:val="center"/>
            <w:tcMar>
              <w:top w:w="60" w:type="dxa"/>
              <w:start w:w="80" w:type="dxa"/>
              <w:bottom w:w="60" w:type="dxa"/>
              <w:end w:w="80" w:type="dxa"/>
            </w:tcMar>
          </w:tcPr>
          <w:p>
            <w:pPr>
              <w:spacing w:after="0" w:before="0"/>
            </w:pPr>
            <w:r>
              <w:rPr>
                <w:rFonts w:ascii="Aptos" w:hAnsi="Aptos"/>
                <w:sz w:val="17"/>
              </w:rPr>
              <w:t>15%</w:t>
            </w:r>
          </w:p>
        </w:tc>
        <w:tc>
          <w:tcPr>
            <w:tcW w:type="dxa" w:w="2102"/>
            <w:vAlign w:val="center"/>
            <w:tcMar>
              <w:top w:w="60" w:type="dxa"/>
              <w:start w:w="80" w:type="dxa"/>
              <w:bottom w:w="60" w:type="dxa"/>
              <w:end w:w="80" w:type="dxa"/>
            </w:tcMar>
          </w:tcPr>
          <w:p>
            <w:pPr>
              <w:spacing w:after="0" w:before="0"/>
            </w:pPr>
            <w:r>
              <w:rPr>
                <w:rFonts w:ascii="Aptos" w:hAnsi="Aptos"/>
                <w:sz w:val="17"/>
              </w:rPr>
              <w:t>9,986</w:t>
            </w:r>
          </w:p>
        </w:tc>
        <w:tc>
          <w:tcPr>
            <w:tcW w:type="dxa" w:w="2102"/>
            <w:vAlign w:val="center"/>
            <w:tcMar>
              <w:top w:w="60" w:type="dxa"/>
              <w:start w:w="80" w:type="dxa"/>
              <w:bottom w:w="60" w:type="dxa"/>
              <w:end w:w="80" w:type="dxa"/>
            </w:tcMar>
          </w:tcPr>
          <w:p>
            <w:pPr>
              <w:spacing w:after="0" w:before="0"/>
            </w:pPr>
            <w:r>
              <w:rPr>
                <w:rFonts w:ascii="Aptos" w:hAnsi="Aptos"/>
                <w:sz w:val="17"/>
              </w:rPr>
              <w:t>10,855</w:t>
            </w:r>
          </w:p>
        </w:tc>
        <w:tc>
          <w:tcPr>
            <w:tcW w:type="dxa" w:w="2102"/>
            <w:vAlign w:val="center"/>
            <w:tcMar>
              <w:top w:w="60" w:type="dxa"/>
              <w:start w:w="80" w:type="dxa"/>
              <w:bottom w:w="60" w:type="dxa"/>
              <w:end w:w="80" w:type="dxa"/>
            </w:tcMar>
          </w:tcPr>
          <w:p>
            <w:pPr>
              <w:spacing w:after="0" w:before="0"/>
            </w:pPr>
            <w:r>
              <w:rPr>
                <w:rFonts w:ascii="Aptos" w:hAnsi="Aptos"/>
                <w:sz w:val="17"/>
              </w:rPr>
              <w:t>$1,680</w:t>
            </w:r>
          </w:p>
        </w:tc>
        <w:tc>
          <w:tcPr>
            <w:tcW w:type="dxa" w:w="2102"/>
            <w:vAlign w:val="center"/>
            <w:tcMar>
              <w:top w:w="60" w:type="dxa"/>
              <w:start w:w="80" w:type="dxa"/>
              <w:bottom w:w="60" w:type="dxa"/>
              <w:end w:w="80" w:type="dxa"/>
            </w:tcMar>
          </w:tcPr>
          <w:p>
            <w:pPr>
              <w:spacing w:after="0" w:before="0"/>
            </w:pPr>
            <w:r>
              <w:rPr>
                <w:rFonts w:ascii="Aptos" w:hAnsi="Aptos"/>
                <w:sz w:val="17"/>
              </w:rPr>
              <w:t>16.8¢</w:t>
            </w:r>
          </w:p>
        </w:tc>
      </w:tr>
      <w:tr>
        <w:tc>
          <w:tcPr>
            <w:tcW w:type="dxa" w:w="2102"/>
            <w:vAlign w:val="center"/>
            <w:tcMar>
              <w:top w:w="60" w:type="dxa"/>
              <w:start w:w="80" w:type="dxa"/>
              <w:bottom w:w="60" w:type="dxa"/>
              <w:end w:w="80" w:type="dxa"/>
            </w:tcMar>
          </w:tcPr>
          <w:p>
            <w:pPr>
              <w:spacing w:after="0" w:before="0"/>
            </w:pPr>
            <w:r>
              <w:rPr>
                <w:rFonts w:ascii="Aptos" w:hAnsi="Aptos"/>
                <w:sz w:val="17"/>
              </w:rPr>
              <w:t>20%</w:t>
            </w:r>
          </w:p>
        </w:tc>
        <w:tc>
          <w:tcPr>
            <w:tcW w:type="dxa" w:w="2102"/>
            <w:vAlign w:val="center"/>
            <w:tcMar>
              <w:top w:w="60" w:type="dxa"/>
              <w:start w:w="80" w:type="dxa"/>
              <w:bottom w:w="60" w:type="dxa"/>
              <w:end w:w="80" w:type="dxa"/>
            </w:tcMar>
          </w:tcPr>
          <w:p>
            <w:pPr>
              <w:spacing w:after="0" w:before="0"/>
            </w:pPr>
            <w:r>
              <w:rPr>
                <w:rFonts w:ascii="Aptos" w:hAnsi="Aptos"/>
                <w:sz w:val="17"/>
              </w:rPr>
              <w:t>13,315</w:t>
            </w:r>
          </w:p>
        </w:tc>
        <w:tc>
          <w:tcPr>
            <w:tcW w:type="dxa" w:w="2102"/>
            <w:vAlign w:val="center"/>
            <w:tcMar>
              <w:top w:w="60" w:type="dxa"/>
              <w:start w:w="80" w:type="dxa"/>
              <w:bottom w:w="60" w:type="dxa"/>
              <w:end w:w="80" w:type="dxa"/>
            </w:tcMar>
          </w:tcPr>
          <w:p>
            <w:pPr>
              <w:spacing w:after="0" w:before="0"/>
            </w:pPr>
            <w:r>
              <w:rPr>
                <w:rFonts w:ascii="Aptos" w:hAnsi="Aptos"/>
                <w:sz w:val="17"/>
              </w:rPr>
              <w:t>14,473</w:t>
            </w:r>
          </w:p>
        </w:tc>
        <w:tc>
          <w:tcPr>
            <w:tcW w:type="dxa" w:w="2102"/>
            <w:vAlign w:val="center"/>
            <w:tcMar>
              <w:top w:w="60" w:type="dxa"/>
              <w:start w:w="80" w:type="dxa"/>
              <w:bottom w:w="60" w:type="dxa"/>
              <w:end w:w="80" w:type="dxa"/>
            </w:tcMar>
          </w:tcPr>
          <w:p>
            <w:pPr>
              <w:spacing w:after="0" w:before="0"/>
            </w:pPr>
            <w:r>
              <w:rPr>
                <w:rFonts w:ascii="Aptos" w:hAnsi="Aptos"/>
                <w:sz w:val="17"/>
              </w:rPr>
              <w:t>$2,187</w:t>
            </w:r>
          </w:p>
        </w:tc>
        <w:tc>
          <w:tcPr>
            <w:tcW w:type="dxa" w:w="2102"/>
            <w:vAlign w:val="center"/>
            <w:tcMar>
              <w:top w:w="60" w:type="dxa"/>
              <w:start w:w="80" w:type="dxa"/>
              <w:bottom w:w="60" w:type="dxa"/>
              <w:end w:w="80" w:type="dxa"/>
            </w:tcMar>
          </w:tcPr>
          <w:p>
            <w:pPr>
              <w:spacing w:after="0" w:before="0"/>
            </w:pPr>
            <w:r>
              <w:rPr>
                <w:rFonts w:ascii="Aptos" w:hAnsi="Aptos"/>
                <w:sz w:val="17"/>
              </w:rPr>
              <w:t>16.4¢</w:t>
            </w:r>
          </w:p>
        </w:tc>
      </w:tr>
      <w:tr>
        <w:tc>
          <w:tcPr>
            <w:tcW w:type="dxa" w:w="2102"/>
            <w:vAlign w:val="center"/>
            <w:tcMar>
              <w:top w:w="60" w:type="dxa"/>
              <w:start w:w="80" w:type="dxa"/>
              <w:bottom w:w="60" w:type="dxa"/>
              <w:end w:w="80" w:type="dxa"/>
            </w:tcMar>
          </w:tcPr>
          <w:p>
            <w:pPr>
              <w:spacing w:after="0" w:before="0"/>
            </w:pPr>
            <w:r>
              <w:rPr>
                <w:rFonts w:ascii="Aptos" w:hAnsi="Aptos"/>
                <w:sz w:val="17"/>
              </w:rPr>
              <w:t>25%</w:t>
            </w:r>
          </w:p>
        </w:tc>
        <w:tc>
          <w:tcPr>
            <w:tcW w:type="dxa" w:w="2102"/>
            <w:vAlign w:val="center"/>
            <w:tcMar>
              <w:top w:w="60" w:type="dxa"/>
              <w:start w:w="80" w:type="dxa"/>
              <w:bottom w:w="60" w:type="dxa"/>
              <w:end w:w="80" w:type="dxa"/>
            </w:tcMar>
          </w:tcPr>
          <w:p>
            <w:pPr>
              <w:spacing w:after="0" w:before="0"/>
            </w:pPr>
            <w:r>
              <w:rPr>
                <w:rFonts w:ascii="Aptos" w:hAnsi="Aptos"/>
                <w:sz w:val="17"/>
              </w:rPr>
              <w:t>16,644</w:t>
            </w:r>
          </w:p>
        </w:tc>
        <w:tc>
          <w:tcPr>
            <w:tcW w:type="dxa" w:w="2102"/>
            <w:vAlign w:val="center"/>
            <w:tcMar>
              <w:top w:w="60" w:type="dxa"/>
              <w:start w:w="80" w:type="dxa"/>
              <w:bottom w:w="60" w:type="dxa"/>
              <w:end w:w="80" w:type="dxa"/>
            </w:tcMar>
          </w:tcPr>
          <w:p>
            <w:pPr>
              <w:spacing w:after="0" w:before="0"/>
            </w:pPr>
            <w:r>
              <w:rPr>
                <w:rFonts w:ascii="Aptos" w:hAnsi="Aptos"/>
                <w:sz w:val="17"/>
              </w:rPr>
              <w:t>18,091</w:t>
            </w:r>
          </w:p>
        </w:tc>
        <w:tc>
          <w:tcPr>
            <w:tcW w:type="dxa" w:w="2102"/>
            <w:vAlign w:val="center"/>
            <w:tcMar>
              <w:top w:w="60" w:type="dxa"/>
              <w:start w:w="80" w:type="dxa"/>
              <w:bottom w:w="60" w:type="dxa"/>
              <w:end w:w="80" w:type="dxa"/>
            </w:tcMar>
          </w:tcPr>
          <w:p>
            <w:pPr>
              <w:spacing w:after="0" w:before="0"/>
            </w:pPr>
            <w:r>
              <w:rPr>
                <w:rFonts w:ascii="Aptos" w:hAnsi="Aptos"/>
                <w:sz w:val="17"/>
              </w:rPr>
              <w:t>$2,693</w:t>
            </w:r>
          </w:p>
        </w:tc>
        <w:tc>
          <w:tcPr>
            <w:tcW w:type="dxa" w:w="2102"/>
            <w:vAlign w:val="center"/>
            <w:tcMar>
              <w:top w:w="60" w:type="dxa"/>
              <w:start w:w="80" w:type="dxa"/>
              <w:bottom w:w="60" w:type="dxa"/>
              <w:end w:w="80" w:type="dxa"/>
            </w:tcMar>
          </w:tcPr>
          <w:p>
            <w:pPr>
              <w:spacing w:after="0" w:before="0"/>
            </w:pPr>
            <w:r>
              <w:rPr>
                <w:rFonts w:ascii="Aptos" w:hAnsi="Aptos"/>
                <w:sz w:val="17"/>
              </w:rPr>
              <w:t>16.2¢</w:t>
            </w:r>
          </w:p>
        </w:tc>
      </w:tr>
      <w:tr>
        <w:tc>
          <w:tcPr>
            <w:tcW w:type="dxa" w:w="2102"/>
            <w:vAlign w:val="center"/>
            <w:tcMar>
              <w:top w:w="60" w:type="dxa"/>
              <w:start w:w="80" w:type="dxa"/>
              <w:bottom w:w="60" w:type="dxa"/>
              <w:end w:w="80" w:type="dxa"/>
            </w:tcMar>
          </w:tcPr>
          <w:p>
            <w:pPr>
              <w:spacing w:after="0" w:before="0"/>
            </w:pPr>
            <w:r>
              <w:rPr>
                <w:rFonts w:ascii="Aptos" w:hAnsi="Aptos"/>
                <w:sz w:val="17"/>
              </w:rPr>
              <w:t>30%</w:t>
            </w:r>
          </w:p>
        </w:tc>
        <w:tc>
          <w:tcPr>
            <w:tcW w:type="dxa" w:w="2102"/>
            <w:vAlign w:val="center"/>
            <w:tcMar>
              <w:top w:w="60" w:type="dxa"/>
              <w:start w:w="80" w:type="dxa"/>
              <w:bottom w:w="60" w:type="dxa"/>
              <w:end w:w="80" w:type="dxa"/>
            </w:tcMar>
          </w:tcPr>
          <w:p>
            <w:pPr>
              <w:spacing w:after="0" w:before="0"/>
            </w:pPr>
            <w:r>
              <w:rPr>
                <w:rFonts w:ascii="Aptos" w:hAnsi="Aptos"/>
                <w:sz w:val="17"/>
              </w:rPr>
              <w:t>19,973</w:t>
            </w:r>
          </w:p>
        </w:tc>
        <w:tc>
          <w:tcPr>
            <w:tcW w:type="dxa" w:w="2102"/>
            <w:vAlign w:val="center"/>
            <w:tcMar>
              <w:top w:w="60" w:type="dxa"/>
              <w:start w:w="80" w:type="dxa"/>
              <w:bottom w:w="60" w:type="dxa"/>
              <w:end w:w="80" w:type="dxa"/>
            </w:tcMar>
          </w:tcPr>
          <w:p>
            <w:pPr>
              <w:spacing w:after="0" w:before="0"/>
            </w:pPr>
            <w:r>
              <w:rPr>
                <w:rFonts w:ascii="Aptos" w:hAnsi="Aptos"/>
                <w:sz w:val="17"/>
              </w:rPr>
              <w:t>21,710</w:t>
            </w:r>
          </w:p>
        </w:tc>
        <w:tc>
          <w:tcPr>
            <w:tcW w:type="dxa" w:w="2102"/>
            <w:vAlign w:val="center"/>
            <w:tcMar>
              <w:top w:w="60" w:type="dxa"/>
              <w:start w:w="80" w:type="dxa"/>
              <w:bottom w:w="60" w:type="dxa"/>
              <w:end w:w="80" w:type="dxa"/>
            </w:tcMar>
          </w:tcPr>
          <w:p>
            <w:pPr>
              <w:spacing w:after="0" w:before="0"/>
            </w:pPr>
            <w:r>
              <w:rPr>
                <w:rFonts w:ascii="Aptos" w:hAnsi="Aptos"/>
                <w:sz w:val="17"/>
              </w:rPr>
              <w:t>$3,200</w:t>
            </w:r>
          </w:p>
        </w:tc>
        <w:tc>
          <w:tcPr>
            <w:tcW w:type="dxa" w:w="2102"/>
            <w:vAlign w:val="center"/>
            <w:tcMar>
              <w:top w:w="60" w:type="dxa"/>
              <w:start w:w="80" w:type="dxa"/>
              <w:bottom w:w="60" w:type="dxa"/>
              <w:end w:w="80" w:type="dxa"/>
            </w:tcMar>
          </w:tcPr>
          <w:p>
            <w:pPr>
              <w:spacing w:after="0" w:before="0"/>
            </w:pPr>
            <w:r>
              <w:rPr>
                <w:rFonts w:ascii="Aptos" w:hAnsi="Aptos"/>
                <w:sz w:val="17"/>
              </w:rPr>
              <w:t>16.0¢</w:t>
            </w:r>
          </w:p>
        </w:tc>
      </w:tr>
      <w:tr>
        <w:tc>
          <w:tcPr>
            <w:tcW w:type="dxa" w:w="2102"/>
            <w:vAlign w:val="center"/>
            <w:tcMar>
              <w:top w:w="60" w:type="dxa"/>
              <w:start w:w="80" w:type="dxa"/>
              <w:bottom w:w="60" w:type="dxa"/>
              <w:end w:w="80" w:type="dxa"/>
            </w:tcMar>
          </w:tcPr>
          <w:p>
            <w:pPr>
              <w:spacing w:after="0" w:before="0"/>
            </w:pPr>
            <w:r>
              <w:rPr>
                <w:rFonts w:ascii="Aptos" w:hAnsi="Aptos"/>
                <w:sz w:val="17"/>
              </w:rPr>
              <w:t>40%</w:t>
            </w:r>
          </w:p>
        </w:tc>
        <w:tc>
          <w:tcPr>
            <w:tcW w:type="dxa" w:w="2102"/>
            <w:vAlign w:val="center"/>
            <w:tcMar>
              <w:top w:w="60" w:type="dxa"/>
              <w:start w:w="80" w:type="dxa"/>
              <w:bottom w:w="60" w:type="dxa"/>
              <w:end w:w="80" w:type="dxa"/>
            </w:tcMar>
          </w:tcPr>
          <w:p>
            <w:pPr>
              <w:spacing w:after="0" w:before="0"/>
            </w:pPr>
            <w:r>
              <w:rPr>
                <w:rFonts w:ascii="Aptos" w:hAnsi="Aptos"/>
                <w:sz w:val="17"/>
              </w:rPr>
              <w:t>26,630</w:t>
            </w:r>
          </w:p>
        </w:tc>
        <w:tc>
          <w:tcPr>
            <w:tcW w:type="dxa" w:w="2102"/>
            <w:vAlign w:val="center"/>
            <w:tcMar>
              <w:top w:w="60" w:type="dxa"/>
              <w:start w:w="80" w:type="dxa"/>
              <w:bottom w:w="60" w:type="dxa"/>
              <w:end w:w="80" w:type="dxa"/>
            </w:tcMar>
          </w:tcPr>
          <w:p>
            <w:pPr>
              <w:spacing w:after="0" w:before="0"/>
            </w:pPr>
            <w:r>
              <w:rPr>
                <w:rFonts w:ascii="Aptos" w:hAnsi="Aptos"/>
                <w:sz w:val="17"/>
              </w:rPr>
              <w:t>28,946</w:t>
            </w:r>
          </w:p>
        </w:tc>
        <w:tc>
          <w:tcPr>
            <w:tcW w:type="dxa" w:w="2102"/>
            <w:vAlign w:val="center"/>
            <w:tcMar>
              <w:top w:w="60" w:type="dxa"/>
              <w:start w:w="80" w:type="dxa"/>
              <w:bottom w:w="60" w:type="dxa"/>
              <w:end w:w="80" w:type="dxa"/>
            </w:tcMar>
          </w:tcPr>
          <w:p>
            <w:pPr>
              <w:spacing w:after="0" w:before="0"/>
            </w:pPr>
            <w:r>
              <w:rPr>
                <w:rFonts w:ascii="Aptos" w:hAnsi="Aptos"/>
                <w:sz w:val="17"/>
              </w:rPr>
              <w:t>$4,213</w:t>
            </w:r>
          </w:p>
        </w:tc>
        <w:tc>
          <w:tcPr>
            <w:tcW w:type="dxa" w:w="2102"/>
            <w:vAlign w:val="center"/>
            <w:tcMar>
              <w:top w:w="60" w:type="dxa"/>
              <w:start w:w="80" w:type="dxa"/>
              <w:bottom w:w="60" w:type="dxa"/>
              <w:end w:w="80" w:type="dxa"/>
            </w:tcMar>
          </w:tcPr>
          <w:p>
            <w:pPr>
              <w:spacing w:after="0" w:before="0"/>
            </w:pPr>
            <w:r>
              <w:rPr>
                <w:rFonts w:ascii="Aptos" w:hAnsi="Aptos"/>
                <w:sz w:val="17"/>
              </w:rPr>
              <w:t>15.8¢</w:t>
            </w:r>
          </w:p>
        </w:tc>
      </w:tr>
      <w:tr>
        <w:tc>
          <w:tcPr>
            <w:tcW w:type="dxa" w:w="2102"/>
            <w:vAlign w:val="center"/>
            <w:tcMar>
              <w:top w:w="60" w:type="dxa"/>
              <w:start w:w="80" w:type="dxa"/>
              <w:bottom w:w="60" w:type="dxa"/>
              <w:end w:w="80" w:type="dxa"/>
            </w:tcMar>
          </w:tcPr>
          <w:p>
            <w:pPr>
              <w:spacing w:after="0" w:before="0"/>
            </w:pPr>
            <w:r>
              <w:rPr>
                <w:rFonts w:ascii="Aptos" w:hAnsi="Aptos"/>
                <w:sz w:val="17"/>
              </w:rPr>
              <w:t>50%</w:t>
            </w:r>
          </w:p>
        </w:tc>
        <w:tc>
          <w:tcPr>
            <w:tcW w:type="dxa" w:w="2102"/>
            <w:vAlign w:val="center"/>
            <w:tcMar>
              <w:top w:w="60" w:type="dxa"/>
              <w:start w:w="80" w:type="dxa"/>
              <w:bottom w:w="60" w:type="dxa"/>
              <w:end w:w="80" w:type="dxa"/>
            </w:tcMar>
          </w:tcPr>
          <w:p>
            <w:pPr>
              <w:spacing w:after="0" w:before="0"/>
            </w:pPr>
            <w:r>
              <w:rPr>
                <w:rFonts w:ascii="Aptos" w:hAnsi="Aptos"/>
                <w:sz w:val="17"/>
              </w:rPr>
              <w:t>33,288</w:t>
            </w:r>
          </w:p>
        </w:tc>
        <w:tc>
          <w:tcPr>
            <w:tcW w:type="dxa" w:w="2102"/>
            <w:vAlign w:val="center"/>
            <w:tcMar>
              <w:top w:w="60" w:type="dxa"/>
              <w:start w:w="80" w:type="dxa"/>
              <w:bottom w:w="60" w:type="dxa"/>
              <w:end w:w="80" w:type="dxa"/>
            </w:tcMar>
          </w:tcPr>
          <w:p>
            <w:pPr>
              <w:spacing w:after="0" w:before="0"/>
            </w:pPr>
            <w:r>
              <w:rPr>
                <w:rFonts w:ascii="Aptos" w:hAnsi="Aptos"/>
                <w:sz w:val="17"/>
              </w:rPr>
              <w:t>36,183</w:t>
            </w:r>
          </w:p>
        </w:tc>
        <w:tc>
          <w:tcPr>
            <w:tcW w:type="dxa" w:w="2102"/>
            <w:vAlign w:val="center"/>
            <w:tcMar>
              <w:top w:w="60" w:type="dxa"/>
              <w:start w:w="80" w:type="dxa"/>
              <w:bottom w:w="60" w:type="dxa"/>
              <w:end w:w="80" w:type="dxa"/>
            </w:tcMar>
          </w:tcPr>
          <w:p>
            <w:pPr>
              <w:spacing w:after="0" w:before="0"/>
            </w:pPr>
            <w:r>
              <w:rPr>
                <w:rFonts w:ascii="Aptos" w:hAnsi="Aptos"/>
                <w:sz w:val="17"/>
              </w:rPr>
              <w:t>$5,226</w:t>
            </w:r>
          </w:p>
        </w:tc>
        <w:tc>
          <w:tcPr>
            <w:tcW w:type="dxa" w:w="2102"/>
            <w:vAlign w:val="center"/>
            <w:tcMar>
              <w:top w:w="60" w:type="dxa"/>
              <w:start w:w="80" w:type="dxa"/>
              <w:bottom w:w="60" w:type="dxa"/>
              <w:end w:w="80" w:type="dxa"/>
            </w:tcMar>
          </w:tcPr>
          <w:p>
            <w:pPr>
              <w:spacing w:after="0" w:before="0"/>
            </w:pPr>
            <w:r>
              <w:rPr>
                <w:rFonts w:ascii="Aptos" w:hAnsi="Aptos"/>
                <w:sz w:val="17"/>
              </w:rPr>
              <w:t>15.7¢</w:t>
            </w:r>
          </w:p>
        </w:tc>
      </w:tr>
    </w:tbl>
    <w:p>
      <w:pPr>
        <w:spacing w:before="40" w:after="80"/>
      </w:pPr>
      <w:r>
        <w:rPr>
          <w:i/>
          <w:color w:val="555555"/>
          <w:sz w:val="17"/>
        </w:rPr>
        <w:t>Model calculation. Electricity cost includes the GS-1 single-phase customer charge, a 14.0¢/metered-kWh blended tariff input, and 8% electrical losses.</w:t>
      </w:r>
    </w:p>
    <w:p>
      <w:r>
        <w:rPr>
          <w:b/>
        </w:rPr>
        <w:t xml:space="preserve">Top-line electricity benchmarks. </w:t>
      </w:r>
      <w:r>
        <w:t>At 20% utilization, one 7.6 kW port delivers about 13,315 kWh per year and incurs roughly $2,190 in electricity cost, equivalent to 16.4¢ per delivered kWh. At 30% utilization, annual electricity spending rises to about $3,200, but the unit cost falls to about 16.0¢/kWh as the fixed customer charge is spread over more energy. The underlying energy-only floor is approximately 15.2¢ per delivered kWh after losses.</w:t>
      </w:r>
    </w:p>
    <w:p>
      <w:pPr>
        <w:pStyle w:val="Heading1"/>
      </w:pPr>
      <w:r>
        <w:t>3. Cost and finance assumptions</w:t>
      </w:r>
    </w:p>
    <w:tbl>
      <w:tblPr>
        <w:tblStyle w:val="TableGrid"/>
        <w:tblW w:type="auto" w:w="0"/>
        <w:jc w:val="center"/>
        <w:tblLook w:firstColumn="1" w:firstRow="1" w:lastColumn="0" w:lastRow="0" w:noHBand="0" w:noVBand="1" w:val="04A0"/>
      </w:tblPr>
      <w:tblGrid>
        <w:gridCol w:w="3504"/>
        <w:gridCol w:w="3504"/>
        <w:gridCol w:w="3504"/>
      </w:tblGrid>
      <w:tr>
        <w:tc>
          <w:tcPr>
            <w:tcW w:type="dxa" w:w="3504"/>
            <w:vAlign w:val="center"/>
            <w:tcMar>
              <w:top w:w="60" w:type="dxa"/>
              <w:start w:w="80" w:type="dxa"/>
              <w:bottom w:w="60" w:type="dxa"/>
              <w:end w:w="80" w:type="dxa"/>
            </w:tcMar>
            <w:shd w:fill="D9EAF7"/>
          </w:tcPr>
          <w:p>
            <w:pPr>
              <w:spacing w:after="0" w:before="0"/>
            </w:pPr>
            <w:r>
              <w:rPr>
                <w:rFonts w:ascii="Aptos" w:hAnsi="Aptos"/>
                <w:b/>
                <w:sz w:val="17"/>
              </w:rPr>
              <w:t>Assumption</w:t>
            </w:r>
          </w:p>
        </w:tc>
        <w:tc>
          <w:tcPr>
            <w:tcW w:type="dxa" w:w="3504"/>
            <w:vAlign w:val="center"/>
            <w:tcMar>
              <w:top w:w="60" w:type="dxa"/>
              <w:start w:w="80" w:type="dxa"/>
              <w:bottom w:w="60" w:type="dxa"/>
              <w:end w:w="80" w:type="dxa"/>
            </w:tcMar>
            <w:shd w:fill="D9EAF7"/>
          </w:tcPr>
          <w:p>
            <w:pPr>
              <w:spacing w:after="0" w:before="0"/>
            </w:pPr>
            <w:r>
              <w:rPr>
                <w:rFonts w:ascii="Aptos" w:hAnsi="Aptos"/>
                <w:b/>
                <w:sz w:val="17"/>
              </w:rPr>
              <w:t>Central value</w:t>
            </w:r>
          </w:p>
        </w:tc>
        <w:tc>
          <w:tcPr>
            <w:tcW w:type="dxa" w:w="3504"/>
            <w:vAlign w:val="center"/>
            <w:tcMar>
              <w:top w:w="60" w:type="dxa"/>
              <w:start w:w="80" w:type="dxa"/>
              <w:bottom w:w="60" w:type="dxa"/>
              <w:end w:w="80" w:type="dxa"/>
            </w:tcMar>
            <w:shd w:fill="D9EAF7"/>
          </w:tcPr>
          <w:p>
            <w:pPr>
              <w:spacing w:after="0" w:before="0"/>
            </w:pPr>
            <w:r>
              <w:rPr>
                <w:rFonts w:ascii="Aptos" w:hAnsi="Aptos"/>
                <w:b/>
                <w:sz w:val="17"/>
              </w:rPr>
              <w:t>Rationale / sensitivity</w:t>
            </w:r>
          </w:p>
        </w:tc>
      </w:tr>
      <w:tr>
        <w:tc>
          <w:tcPr>
            <w:tcW w:type="dxa" w:w="3504"/>
            <w:vAlign w:val="center"/>
            <w:tcMar>
              <w:top w:w="60" w:type="dxa"/>
              <w:start w:w="80" w:type="dxa"/>
              <w:bottom w:w="60" w:type="dxa"/>
              <w:end w:w="80" w:type="dxa"/>
            </w:tcMar>
          </w:tcPr>
          <w:p>
            <w:pPr>
              <w:spacing w:after="0" w:before="0"/>
            </w:pPr>
            <w:r>
              <w:rPr>
                <w:rFonts w:ascii="Aptos" w:hAnsi="Aptos"/>
                <w:sz w:val="17"/>
              </w:rPr>
              <w:t>Port power</w:t>
            </w:r>
          </w:p>
        </w:tc>
        <w:tc>
          <w:tcPr>
            <w:tcW w:type="dxa" w:w="3504"/>
            <w:vAlign w:val="center"/>
            <w:tcMar>
              <w:top w:w="60" w:type="dxa"/>
              <w:start w:w="80" w:type="dxa"/>
              <w:bottom w:w="60" w:type="dxa"/>
              <w:end w:w="80" w:type="dxa"/>
            </w:tcMar>
          </w:tcPr>
          <w:p>
            <w:pPr>
              <w:spacing w:after="0" w:before="0"/>
            </w:pPr>
            <w:r>
              <w:rPr>
                <w:rFonts w:ascii="Aptos" w:hAnsi="Aptos"/>
                <w:sz w:val="17"/>
              </w:rPr>
              <w:t>7.6 kW</w:t>
            </w:r>
          </w:p>
        </w:tc>
        <w:tc>
          <w:tcPr>
            <w:tcW w:type="dxa" w:w="3504"/>
            <w:vAlign w:val="center"/>
            <w:tcMar>
              <w:top w:w="60" w:type="dxa"/>
              <w:start w:w="80" w:type="dxa"/>
              <w:bottom w:w="60" w:type="dxa"/>
              <w:end w:w="80" w:type="dxa"/>
            </w:tcMar>
          </w:tcPr>
          <w:p>
            <w:pPr>
              <w:spacing w:after="0" w:before="0"/>
            </w:pPr>
            <w:r>
              <w:rPr>
                <w:rFonts w:ascii="Aptos" w:hAnsi="Aptos"/>
                <w:sz w:val="17"/>
              </w:rPr>
              <w:t>Matches the published specification for it's electric's curbside unit.</w:t>
            </w:r>
          </w:p>
        </w:tc>
      </w:tr>
      <w:tr>
        <w:tc>
          <w:tcPr>
            <w:tcW w:type="dxa" w:w="3504"/>
            <w:vAlign w:val="center"/>
            <w:tcMar>
              <w:top w:w="60" w:type="dxa"/>
              <w:start w:w="80" w:type="dxa"/>
              <w:bottom w:w="60" w:type="dxa"/>
              <w:end w:w="80" w:type="dxa"/>
            </w:tcMar>
          </w:tcPr>
          <w:p>
            <w:pPr>
              <w:spacing w:after="0" w:before="0"/>
            </w:pPr>
            <w:r>
              <w:rPr>
                <w:rFonts w:ascii="Aptos" w:hAnsi="Aptos"/>
                <w:sz w:val="17"/>
              </w:rPr>
              <w:t>Economic life</w:t>
            </w:r>
          </w:p>
        </w:tc>
        <w:tc>
          <w:tcPr>
            <w:tcW w:type="dxa" w:w="3504"/>
            <w:vAlign w:val="center"/>
            <w:tcMar>
              <w:top w:w="60" w:type="dxa"/>
              <w:start w:w="80" w:type="dxa"/>
              <w:bottom w:w="60" w:type="dxa"/>
              <w:end w:w="80" w:type="dxa"/>
            </w:tcMar>
          </w:tcPr>
          <w:p>
            <w:pPr>
              <w:spacing w:after="0" w:before="0"/>
            </w:pPr>
            <w:r>
              <w:rPr>
                <w:rFonts w:ascii="Aptos" w:hAnsi="Aptos"/>
                <w:sz w:val="17"/>
              </w:rPr>
              <w:t>5 years</w:t>
            </w:r>
          </w:p>
        </w:tc>
        <w:tc>
          <w:tcPr>
            <w:tcW w:type="dxa" w:w="3504"/>
            <w:vAlign w:val="center"/>
            <w:tcMar>
              <w:top w:w="60" w:type="dxa"/>
              <w:start w:w="80" w:type="dxa"/>
              <w:bottom w:w="60" w:type="dxa"/>
              <w:end w:w="80" w:type="dxa"/>
            </w:tcMar>
          </w:tcPr>
          <w:p>
            <w:pPr>
              <w:spacing w:after="0" w:before="0"/>
            </w:pPr>
            <w:r>
              <w:rPr>
                <w:rFonts w:ascii="Aptos" w:hAnsi="Aptos"/>
                <w:sz w:val="17"/>
              </w:rPr>
              <w:t>Matches Alexandria's initial license term.</w:t>
            </w:r>
          </w:p>
        </w:tc>
      </w:tr>
      <w:tr>
        <w:tc>
          <w:tcPr>
            <w:tcW w:type="dxa" w:w="3504"/>
            <w:vAlign w:val="center"/>
            <w:tcMar>
              <w:top w:w="60" w:type="dxa"/>
              <w:start w:w="80" w:type="dxa"/>
              <w:bottom w:w="60" w:type="dxa"/>
              <w:end w:w="80" w:type="dxa"/>
            </w:tcMar>
          </w:tcPr>
          <w:p>
            <w:pPr>
              <w:spacing w:after="0" w:before="0"/>
            </w:pPr>
            <w:r>
              <w:rPr>
                <w:rFonts w:ascii="Aptos" w:hAnsi="Aptos"/>
                <w:sz w:val="17"/>
              </w:rPr>
              <w:t>Required return / capital cost</w:t>
            </w:r>
          </w:p>
        </w:tc>
        <w:tc>
          <w:tcPr>
            <w:tcW w:type="dxa" w:w="3504"/>
            <w:vAlign w:val="center"/>
            <w:tcMar>
              <w:top w:w="60" w:type="dxa"/>
              <w:start w:w="80" w:type="dxa"/>
              <w:bottom w:w="60" w:type="dxa"/>
              <w:end w:w="80" w:type="dxa"/>
            </w:tcMar>
          </w:tcPr>
          <w:p>
            <w:pPr>
              <w:spacing w:after="0" w:before="0"/>
            </w:pPr>
            <w:r>
              <w:rPr>
                <w:rFonts w:ascii="Aptos" w:hAnsi="Aptos"/>
                <w:sz w:val="17"/>
              </w:rPr>
              <w:t>10%</w:t>
            </w:r>
          </w:p>
        </w:tc>
        <w:tc>
          <w:tcPr>
            <w:tcW w:type="dxa" w:w="3504"/>
            <w:vAlign w:val="center"/>
            <w:tcMar>
              <w:top w:w="60" w:type="dxa"/>
              <w:start w:w="80" w:type="dxa"/>
              <w:bottom w:w="60" w:type="dxa"/>
              <w:end w:w="80" w:type="dxa"/>
            </w:tcMar>
          </w:tcPr>
          <w:p>
            <w:pPr>
              <w:spacing w:after="0" w:before="0"/>
            </w:pPr>
            <w:r>
              <w:rPr>
                <w:rFonts w:ascii="Aptos" w:hAnsi="Aptos"/>
                <w:sz w:val="17"/>
              </w:rPr>
              <w:t>Used to annualize installed capital over five years.</w:t>
            </w:r>
          </w:p>
        </w:tc>
      </w:tr>
      <w:tr>
        <w:tc>
          <w:tcPr>
            <w:tcW w:type="dxa" w:w="3504"/>
            <w:vAlign w:val="center"/>
            <w:tcMar>
              <w:top w:w="60" w:type="dxa"/>
              <w:start w:w="80" w:type="dxa"/>
              <w:bottom w:w="60" w:type="dxa"/>
              <w:end w:w="80" w:type="dxa"/>
            </w:tcMar>
          </w:tcPr>
          <w:p>
            <w:pPr>
              <w:spacing w:after="0" w:before="0"/>
            </w:pPr>
            <w:r>
              <w:rPr>
                <w:rFonts w:ascii="Aptos" w:hAnsi="Aptos"/>
                <w:sz w:val="17"/>
              </w:rPr>
              <w:t>Installed cost</w:t>
            </w:r>
          </w:p>
        </w:tc>
        <w:tc>
          <w:tcPr>
            <w:tcW w:type="dxa" w:w="3504"/>
            <w:vAlign w:val="center"/>
            <w:tcMar>
              <w:top w:w="60" w:type="dxa"/>
              <w:start w:w="80" w:type="dxa"/>
              <w:bottom w:w="60" w:type="dxa"/>
              <w:end w:w="80" w:type="dxa"/>
            </w:tcMar>
          </w:tcPr>
          <w:p>
            <w:pPr>
              <w:spacing w:after="0" w:before="0"/>
            </w:pPr>
            <w:r>
              <w:rPr>
                <w:rFonts w:ascii="Aptos" w:hAnsi="Aptos"/>
                <w:sz w:val="17"/>
              </w:rPr>
              <w:t>$7,500/port</w:t>
            </w:r>
          </w:p>
        </w:tc>
        <w:tc>
          <w:tcPr>
            <w:tcW w:type="dxa" w:w="3504"/>
            <w:vAlign w:val="center"/>
            <w:tcMar>
              <w:top w:w="60" w:type="dxa"/>
              <w:start w:w="80" w:type="dxa"/>
              <w:bottom w:w="60" w:type="dxa"/>
              <w:end w:w="80" w:type="dxa"/>
            </w:tcMar>
          </w:tcPr>
          <w:p>
            <w:pPr>
              <w:spacing w:after="0" w:before="0"/>
            </w:pPr>
            <w:r>
              <w:rPr>
                <w:rFonts w:ascii="Aptos" w:hAnsi="Aptos"/>
                <w:sz w:val="17"/>
              </w:rPr>
              <w:t>$3k best-case; $10k and $15k sensitivities.</w:t>
            </w:r>
          </w:p>
        </w:tc>
      </w:tr>
      <w:tr>
        <w:tc>
          <w:tcPr>
            <w:tcW w:type="dxa" w:w="3504"/>
            <w:vAlign w:val="center"/>
            <w:tcMar>
              <w:top w:w="60" w:type="dxa"/>
              <w:start w:w="80" w:type="dxa"/>
              <w:bottom w:w="60" w:type="dxa"/>
              <w:end w:w="80" w:type="dxa"/>
            </w:tcMar>
          </w:tcPr>
          <w:p>
            <w:pPr>
              <w:spacing w:after="0" w:before="0"/>
            </w:pPr>
            <w:r>
              <w:rPr>
                <w:rFonts w:ascii="Aptos" w:hAnsi="Aptos"/>
                <w:sz w:val="17"/>
              </w:rPr>
              <w:t>Fixed O&amp;M</w:t>
            </w:r>
          </w:p>
        </w:tc>
        <w:tc>
          <w:tcPr>
            <w:tcW w:type="dxa" w:w="3504"/>
            <w:vAlign w:val="center"/>
            <w:tcMar>
              <w:top w:w="60" w:type="dxa"/>
              <w:start w:w="80" w:type="dxa"/>
              <w:bottom w:w="60" w:type="dxa"/>
              <w:end w:w="80" w:type="dxa"/>
            </w:tcMar>
          </w:tcPr>
          <w:p>
            <w:pPr>
              <w:spacing w:after="0" w:before="0"/>
            </w:pPr>
            <w:r>
              <w:rPr>
                <w:rFonts w:ascii="Aptos" w:hAnsi="Aptos"/>
                <w:sz w:val="17"/>
              </w:rPr>
              <w:t>$1,250/port-year</w:t>
            </w:r>
          </w:p>
        </w:tc>
        <w:tc>
          <w:tcPr>
            <w:tcW w:type="dxa" w:w="3504"/>
            <w:vAlign w:val="center"/>
            <w:tcMar>
              <w:top w:w="60" w:type="dxa"/>
              <w:start w:w="80" w:type="dxa"/>
              <w:bottom w:w="60" w:type="dxa"/>
              <w:end w:w="80" w:type="dxa"/>
            </w:tcMar>
          </w:tcPr>
          <w:p>
            <w:pPr>
              <w:spacing w:after="0" w:before="0"/>
            </w:pPr>
            <w:r>
              <w:rPr>
                <w:rFonts w:ascii="Aptos" w:hAnsi="Aptos"/>
                <w:sz w:val="17"/>
              </w:rPr>
              <w:t>Includes maintenance, network/software, insurance allocation, permitting/admin, and support.</w:t>
            </w:r>
          </w:p>
        </w:tc>
      </w:tr>
      <w:tr>
        <w:tc>
          <w:tcPr>
            <w:tcW w:type="dxa" w:w="3504"/>
            <w:vAlign w:val="center"/>
            <w:tcMar>
              <w:top w:w="60" w:type="dxa"/>
              <w:start w:w="80" w:type="dxa"/>
              <w:bottom w:w="60" w:type="dxa"/>
              <w:end w:w="80" w:type="dxa"/>
            </w:tcMar>
          </w:tcPr>
          <w:p>
            <w:pPr>
              <w:spacing w:after="0" w:before="0"/>
            </w:pPr>
            <w:r>
              <w:rPr>
                <w:rFonts w:ascii="Aptos" w:hAnsi="Aptos"/>
                <w:sz w:val="17"/>
              </w:rPr>
              <w:t>Revenue processing</w:t>
            </w:r>
          </w:p>
        </w:tc>
        <w:tc>
          <w:tcPr>
            <w:tcW w:type="dxa" w:w="3504"/>
            <w:vAlign w:val="center"/>
            <w:tcMar>
              <w:top w:w="60" w:type="dxa"/>
              <w:start w:w="80" w:type="dxa"/>
              <w:bottom w:w="60" w:type="dxa"/>
              <w:end w:w="80" w:type="dxa"/>
            </w:tcMar>
          </w:tcPr>
          <w:p>
            <w:pPr>
              <w:spacing w:after="0" w:before="0"/>
            </w:pPr>
            <w:r>
              <w:rPr>
                <w:rFonts w:ascii="Aptos" w:hAnsi="Aptos"/>
                <w:sz w:val="17"/>
              </w:rPr>
              <w:t>5% of revenue</w:t>
            </w:r>
          </w:p>
        </w:tc>
        <w:tc>
          <w:tcPr>
            <w:tcW w:type="dxa" w:w="3504"/>
            <w:vAlign w:val="center"/>
            <w:tcMar>
              <w:top w:w="60" w:type="dxa"/>
              <w:start w:w="80" w:type="dxa"/>
              <w:bottom w:w="60" w:type="dxa"/>
              <w:end w:w="80" w:type="dxa"/>
            </w:tcMar>
          </w:tcPr>
          <w:p>
            <w:pPr>
              <w:spacing w:after="0" w:before="0"/>
            </w:pPr>
            <w:r>
              <w:rPr>
                <w:rFonts w:ascii="Aptos" w:hAnsi="Aptos"/>
                <w:sz w:val="17"/>
              </w:rPr>
              <w:t>Sensitivity can be run at 3% to 10%.</w:t>
            </w:r>
          </w:p>
        </w:tc>
      </w:tr>
      <w:tr>
        <w:tc>
          <w:tcPr>
            <w:tcW w:type="dxa" w:w="3504"/>
            <w:vAlign w:val="center"/>
            <w:tcMar>
              <w:top w:w="60" w:type="dxa"/>
              <w:start w:w="80" w:type="dxa"/>
              <w:bottom w:w="60" w:type="dxa"/>
              <w:end w:w="80" w:type="dxa"/>
            </w:tcMar>
          </w:tcPr>
          <w:p>
            <w:pPr>
              <w:spacing w:after="0" w:before="0"/>
            </w:pPr>
            <w:r>
              <w:rPr>
                <w:rFonts w:ascii="Aptos" w:hAnsi="Aptos"/>
                <w:sz w:val="17"/>
              </w:rPr>
              <w:t>Electrical losses</w:t>
            </w:r>
          </w:p>
        </w:tc>
        <w:tc>
          <w:tcPr>
            <w:tcW w:type="dxa" w:w="3504"/>
            <w:vAlign w:val="center"/>
            <w:tcMar>
              <w:top w:w="60" w:type="dxa"/>
              <w:start w:w="80" w:type="dxa"/>
              <w:bottom w:w="60" w:type="dxa"/>
              <w:end w:w="80" w:type="dxa"/>
            </w:tcMar>
          </w:tcPr>
          <w:p>
            <w:pPr>
              <w:spacing w:after="0" w:before="0"/>
            </w:pPr>
            <w:r>
              <w:rPr>
                <w:rFonts w:ascii="Aptos" w:hAnsi="Aptos"/>
                <w:sz w:val="17"/>
              </w:rPr>
              <w:t>8%</w:t>
            </w:r>
          </w:p>
        </w:tc>
        <w:tc>
          <w:tcPr>
            <w:tcW w:type="dxa" w:w="3504"/>
            <w:vAlign w:val="center"/>
            <w:tcMar>
              <w:top w:w="60" w:type="dxa"/>
              <w:start w:w="80" w:type="dxa"/>
              <w:bottom w:w="60" w:type="dxa"/>
              <w:end w:w="80" w:type="dxa"/>
            </w:tcMar>
          </w:tcPr>
          <w:p>
            <w:pPr>
              <w:spacing w:after="0" w:before="0"/>
            </w:pPr>
            <w:r>
              <w:rPr>
                <w:rFonts w:ascii="Aptos" w:hAnsi="Aptos"/>
                <w:sz w:val="17"/>
              </w:rPr>
              <w:t>Meter-to-vehicle loss assumption.</w:t>
            </w:r>
          </w:p>
        </w:tc>
      </w:tr>
      <w:tr>
        <w:tc>
          <w:tcPr>
            <w:tcW w:type="dxa" w:w="3504"/>
            <w:vAlign w:val="center"/>
            <w:tcMar>
              <w:top w:w="60" w:type="dxa"/>
              <w:start w:w="80" w:type="dxa"/>
              <w:bottom w:w="60" w:type="dxa"/>
              <w:end w:w="80" w:type="dxa"/>
            </w:tcMar>
          </w:tcPr>
          <w:p>
            <w:pPr>
              <w:spacing w:after="0" w:before="0"/>
            </w:pPr>
            <w:r>
              <w:rPr>
                <w:rFonts w:ascii="Aptos" w:hAnsi="Aptos"/>
                <w:sz w:val="17"/>
              </w:rPr>
              <w:t>Direct electricity</w:t>
            </w:r>
          </w:p>
        </w:tc>
        <w:tc>
          <w:tcPr>
            <w:tcW w:type="dxa" w:w="3504"/>
            <w:vAlign w:val="center"/>
            <w:tcMar>
              <w:top w:w="60" w:type="dxa"/>
              <w:start w:w="80" w:type="dxa"/>
              <w:bottom w:w="60" w:type="dxa"/>
              <w:end w:w="80" w:type="dxa"/>
            </w:tcMar>
          </w:tcPr>
          <w:p>
            <w:pPr>
              <w:spacing w:after="0" w:before="0"/>
            </w:pPr>
            <w:r>
              <w:rPr>
                <w:rFonts w:ascii="Aptos" w:hAnsi="Aptos"/>
                <w:sz w:val="17"/>
              </w:rPr>
              <w:t>14.0¢/metered kWh</w:t>
            </w:r>
          </w:p>
        </w:tc>
        <w:tc>
          <w:tcPr>
            <w:tcW w:type="dxa" w:w="3504"/>
            <w:vAlign w:val="center"/>
            <w:tcMar>
              <w:top w:w="60" w:type="dxa"/>
              <w:start w:w="80" w:type="dxa"/>
              <w:bottom w:w="60" w:type="dxa"/>
              <w:end w:w="80" w:type="dxa"/>
            </w:tcMar>
          </w:tcPr>
          <w:p>
            <w:pPr>
              <w:spacing w:after="0" w:before="0"/>
            </w:pPr>
            <w:r>
              <w:rPr>
                <w:rFonts w:ascii="Aptos" w:hAnsi="Aptos"/>
                <w:sz w:val="17"/>
              </w:rPr>
              <w:t>Rounded annualized GS-1 modeling input plus monthly customer charge.</w:t>
            </w:r>
          </w:p>
        </w:tc>
      </w:tr>
      <w:tr>
        <w:tc>
          <w:tcPr>
            <w:tcW w:type="dxa" w:w="3504"/>
            <w:vAlign w:val="center"/>
            <w:tcMar>
              <w:top w:w="60" w:type="dxa"/>
              <w:start w:w="80" w:type="dxa"/>
              <w:bottom w:w="60" w:type="dxa"/>
              <w:end w:w="80" w:type="dxa"/>
            </w:tcMar>
          </w:tcPr>
          <w:p>
            <w:pPr>
              <w:spacing w:after="0" w:before="0"/>
            </w:pPr>
            <w:r>
              <w:rPr>
                <w:rFonts w:ascii="Aptos" w:hAnsi="Aptos"/>
                <w:sz w:val="17"/>
              </w:rPr>
              <w:t>Hosted-site payment</w:t>
            </w:r>
          </w:p>
        </w:tc>
        <w:tc>
          <w:tcPr>
            <w:tcW w:type="dxa" w:w="3504"/>
            <w:vAlign w:val="center"/>
            <w:tcMar>
              <w:top w:w="60" w:type="dxa"/>
              <w:start w:w="80" w:type="dxa"/>
              <w:bottom w:w="60" w:type="dxa"/>
              <w:end w:w="80" w:type="dxa"/>
            </w:tcMar>
          </w:tcPr>
          <w:p>
            <w:pPr>
              <w:spacing w:after="0" w:before="0"/>
            </w:pPr>
            <w:r>
              <w:rPr>
                <w:rFonts w:ascii="Aptos" w:hAnsi="Aptos"/>
                <w:sz w:val="17"/>
              </w:rPr>
              <w:t>+6¢/delivered kWh</w:t>
            </w:r>
          </w:p>
        </w:tc>
        <w:tc>
          <w:tcPr>
            <w:tcW w:type="dxa" w:w="3504"/>
            <w:vAlign w:val="center"/>
            <w:tcMar>
              <w:top w:w="60" w:type="dxa"/>
              <w:start w:w="80" w:type="dxa"/>
              <w:bottom w:w="60" w:type="dxa"/>
              <w:end w:w="80" w:type="dxa"/>
            </w:tcMar>
          </w:tcPr>
          <w:p>
            <w:pPr>
              <w:spacing w:after="0" w:before="0"/>
            </w:pPr>
            <w:r>
              <w:rPr>
                <w:rFonts w:ascii="Aptos" w:hAnsi="Aptos"/>
                <w:sz w:val="17"/>
              </w:rPr>
              <w:t>Observed property-owner revenue share published by it's electric.</w:t>
            </w:r>
          </w:p>
        </w:tc>
      </w:tr>
    </w:tbl>
    <w:p>
      <w:r>
        <w:t>At a 10% required return over five years, the capital-recovery factor is 0.264. That converts installed costs of $3,000, $7,500, $10,000, and $15,000 into annual capital recovery of approximately $791, $1,978, $2,638, and $3,957 per port, respectively.</w:t>
      </w:r>
    </w:p>
    <w:p>
      <w:pPr>
        <w:pStyle w:val="Heading1"/>
      </w:pPr>
      <w:r>
        <w:t>4. Break-even retail price: direct Dominion service</w:t>
      </w:r>
    </w:p>
    <w:p>
      <w:r>
        <w:t>The table below gives the retail price required for annual revenue to cover electricity, fixed O&amp;M, capital recovery, and the 5% revenue-processing allowance. It does not include income tax or a separate corporate profit margin beyond the 10% required return embedded in capital recovery.</w:t>
      </w:r>
    </w:p>
    <w:tbl>
      <w:tblPr>
        <w:tblStyle w:val="TableGrid"/>
        <w:tblW w:type="auto" w:w="0"/>
        <w:jc w:val="center"/>
        <w:tblLook w:firstColumn="1" w:firstRow="1" w:lastColumn="0" w:lastRow="0" w:noHBand="0" w:noVBand="1" w:val="04A0"/>
      </w:tblPr>
      <w:tblGrid>
        <w:gridCol w:w="1752"/>
        <w:gridCol w:w="1752"/>
        <w:gridCol w:w="1752"/>
        <w:gridCol w:w="1752"/>
        <w:gridCol w:w="1752"/>
        <w:gridCol w:w="1752"/>
      </w:tblGrid>
      <w:tr>
        <w:tc>
          <w:tcPr>
            <w:tcW w:type="dxa" w:w="1752"/>
            <w:vAlign w:val="center"/>
            <w:tcMar>
              <w:top w:w="60" w:type="dxa"/>
              <w:start w:w="80" w:type="dxa"/>
              <w:bottom w:w="60" w:type="dxa"/>
              <w:end w:w="80" w:type="dxa"/>
            </w:tcMar>
            <w:shd w:fill="D9EAF7"/>
          </w:tcPr>
          <w:p>
            <w:pPr>
              <w:spacing w:after="0" w:before="0"/>
            </w:pPr>
            <w:r>
              <w:rPr>
                <w:rFonts w:ascii="Aptos" w:hAnsi="Aptos"/>
                <w:b/>
                <w:sz w:val="17"/>
              </w:rPr>
              <w:t>Utilization</w:t>
            </w:r>
          </w:p>
        </w:tc>
        <w:tc>
          <w:tcPr>
            <w:tcW w:type="dxa" w:w="1752"/>
            <w:vAlign w:val="center"/>
            <w:tcMar>
              <w:top w:w="60" w:type="dxa"/>
              <w:start w:w="80" w:type="dxa"/>
              <w:bottom w:w="60" w:type="dxa"/>
              <w:end w:w="80" w:type="dxa"/>
            </w:tcMar>
            <w:shd w:fill="D9EAF7"/>
          </w:tcPr>
          <w:p>
            <w:pPr>
              <w:spacing w:after="0" w:before="0"/>
            </w:pPr>
            <w:r>
              <w:rPr>
                <w:rFonts w:ascii="Aptos" w:hAnsi="Aptos"/>
                <w:b/>
                <w:sz w:val="17"/>
              </w:rPr>
              <w:t>Annual delivered kWh</w:t>
            </w:r>
          </w:p>
        </w:tc>
        <w:tc>
          <w:tcPr>
            <w:tcW w:type="dxa" w:w="1752"/>
            <w:vAlign w:val="center"/>
            <w:tcMar>
              <w:top w:w="60" w:type="dxa"/>
              <w:start w:w="80" w:type="dxa"/>
              <w:bottom w:w="60" w:type="dxa"/>
              <w:end w:w="80" w:type="dxa"/>
            </w:tcMar>
            <w:shd w:fill="D9EAF7"/>
          </w:tcPr>
          <w:p>
            <w:pPr>
              <w:spacing w:after="0" w:before="0"/>
            </w:pPr>
            <w:r>
              <w:rPr>
                <w:rFonts w:ascii="Aptos" w:hAnsi="Aptos"/>
                <w:b/>
                <w:sz w:val="17"/>
              </w:rPr>
              <w:t>$3k install</w:t>
            </w:r>
          </w:p>
        </w:tc>
        <w:tc>
          <w:tcPr>
            <w:tcW w:type="dxa" w:w="1752"/>
            <w:vAlign w:val="center"/>
            <w:tcMar>
              <w:top w:w="60" w:type="dxa"/>
              <w:start w:w="80" w:type="dxa"/>
              <w:bottom w:w="60" w:type="dxa"/>
              <w:end w:w="80" w:type="dxa"/>
            </w:tcMar>
            <w:shd w:fill="D9EAF7"/>
          </w:tcPr>
          <w:p>
            <w:pPr>
              <w:spacing w:after="0" w:before="0"/>
            </w:pPr>
            <w:r>
              <w:rPr>
                <w:rFonts w:ascii="Aptos" w:hAnsi="Aptos"/>
                <w:b/>
                <w:sz w:val="17"/>
              </w:rPr>
              <w:t>$7.5k install</w:t>
            </w:r>
          </w:p>
        </w:tc>
        <w:tc>
          <w:tcPr>
            <w:tcW w:type="dxa" w:w="1752"/>
            <w:vAlign w:val="center"/>
            <w:tcMar>
              <w:top w:w="60" w:type="dxa"/>
              <w:start w:w="80" w:type="dxa"/>
              <w:bottom w:w="60" w:type="dxa"/>
              <w:end w:w="80" w:type="dxa"/>
            </w:tcMar>
            <w:shd w:fill="D9EAF7"/>
          </w:tcPr>
          <w:p>
            <w:pPr>
              <w:spacing w:after="0" w:before="0"/>
            </w:pPr>
            <w:r>
              <w:rPr>
                <w:rFonts w:ascii="Aptos" w:hAnsi="Aptos"/>
                <w:b/>
                <w:sz w:val="17"/>
              </w:rPr>
              <w:t>$10k install</w:t>
            </w:r>
          </w:p>
        </w:tc>
        <w:tc>
          <w:tcPr>
            <w:tcW w:type="dxa" w:w="1752"/>
            <w:vAlign w:val="center"/>
            <w:tcMar>
              <w:top w:w="60" w:type="dxa"/>
              <w:start w:w="80" w:type="dxa"/>
              <w:bottom w:w="60" w:type="dxa"/>
              <w:end w:w="80" w:type="dxa"/>
            </w:tcMar>
            <w:shd w:fill="D9EAF7"/>
          </w:tcPr>
          <w:p>
            <w:pPr>
              <w:spacing w:after="0" w:before="0"/>
            </w:pPr>
            <w:r>
              <w:rPr>
                <w:rFonts w:ascii="Aptos" w:hAnsi="Aptos"/>
                <w:b/>
                <w:sz w:val="17"/>
              </w:rPr>
              <w:t>$15k install</w:t>
            </w:r>
          </w:p>
        </w:tc>
      </w:tr>
      <w:tr>
        <w:tc>
          <w:tcPr>
            <w:tcW w:type="dxa" w:w="1752"/>
            <w:vAlign w:val="center"/>
            <w:tcMar>
              <w:top w:w="60" w:type="dxa"/>
              <w:start w:w="80" w:type="dxa"/>
              <w:bottom w:w="60" w:type="dxa"/>
              <w:end w:w="80" w:type="dxa"/>
            </w:tcMar>
          </w:tcPr>
          <w:p>
            <w:pPr>
              <w:spacing w:after="0" w:before="0"/>
            </w:pPr>
            <w:r>
              <w:rPr>
                <w:rFonts w:ascii="Aptos" w:hAnsi="Aptos"/>
                <w:sz w:val="17"/>
              </w:rPr>
              <w:t>5%</w:t>
            </w:r>
          </w:p>
        </w:tc>
        <w:tc>
          <w:tcPr>
            <w:tcW w:type="dxa" w:w="1752"/>
            <w:vAlign w:val="center"/>
            <w:tcMar>
              <w:top w:w="60" w:type="dxa"/>
              <w:start w:w="80" w:type="dxa"/>
              <w:bottom w:w="60" w:type="dxa"/>
              <w:end w:w="80" w:type="dxa"/>
            </w:tcMar>
          </w:tcPr>
          <w:p>
            <w:pPr>
              <w:spacing w:after="0" w:before="0"/>
            </w:pPr>
            <w:r>
              <w:rPr>
                <w:rFonts w:ascii="Aptos" w:hAnsi="Aptos"/>
                <w:sz w:val="17"/>
              </w:rPr>
              <w:t>3,329</w:t>
            </w:r>
          </w:p>
        </w:tc>
        <w:tc>
          <w:tcPr>
            <w:tcW w:type="dxa" w:w="1752"/>
            <w:vAlign w:val="center"/>
            <w:tcMar>
              <w:top w:w="60" w:type="dxa"/>
              <w:start w:w="80" w:type="dxa"/>
              <w:bottom w:w="60" w:type="dxa"/>
              <w:end w:w="80" w:type="dxa"/>
            </w:tcMar>
          </w:tcPr>
          <w:p>
            <w:pPr>
              <w:spacing w:after="0" w:before="0"/>
            </w:pPr>
            <w:r>
              <w:rPr>
                <w:rFonts w:ascii="Aptos" w:hAnsi="Aptos"/>
                <w:sz w:val="17"/>
              </w:rPr>
              <w:t>$0.86</w:t>
            </w:r>
          </w:p>
        </w:tc>
        <w:tc>
          <w:tcPr>
            <w:tcW w:type="dxa" w:w="1752"/>
            <w:vAlign w:val="center"/>
            <w:tcMar>
              <w:top w:w="60" w:type="dxa"/>
              <w:start w:w="80" w:type="dxa"/>
              <w:bottom w:w="60" w:type="dxa"/>
              <w:end w:w="80" w:type="dxa"/>
            </w:tcMar>
          </w:tcPr>
          <w:p>
            <w:pPr>
              <w:spacing w:after="0" w:before="0"/>
            </w:pPr>
            <w:r>
              <w:rPr>
                <w:rFonts w:ascii="Aptos" w:hAnsi="Aptos"/>
                <w:sz w:val="17"/>
              </w:rPr>
              <w:t>$1.23</w:t>
            </w:r>
          </w:p>
        </w:tc>
        <w:tc>
          <w:tcPr>
            <w:tcW w:type="dxa" w:w="1752"/>
            <w:vAlign w:val="center"/>
            <w:tcMar>
              <w:top w:w="60" w:type="dxa"/>
              <w:start w:w="80" w:type="dxa"/>
              <w:bottom w:w="60" w:type="dxa"/>
              <w:end w:w="80" w:type="dxa"/>
            </w:tcMar>
          </w:tcPr>
          <w:p>
            <w:pPr>
              <w:spacing w:after="0" w:before="0"/>
            </w:pPr>
            <w:r>
              <w:rPr>
                <w:rFonts w:ascii="Aptos" w:hAnsi="Aptos"/>
                <w:sz w:val="17"/>
              </w:rPr>
              <w:t>$1.44</w:t>
            </w:r>
          </w:p>
        </w:tc>
        <w:tc>
          <w:tcPr>
            <w:tcW w:type="dxa" w:w="1752"/>
            <w:vAlign w:val="center"/>
            <w:tcMar>
              <w:top w:w="60" w:type="dxa"/>
              <w:start w:w="80" w:type="dxa"/>
              <w:bottom w:w="60" w:type="dxa"/>
              <w:end w:w="80" w:type="dxa"/>
            </w:tcMar>
          </w:tcPr>
          <w:p>
            <w:pPr>
              <w:spacing w:after="0" w:before="0"/>
            </w:pPr>
            <w:r>
              <w:rPr>
                <w:rFonts w:ascii="Aptos" w:hAnsi="Aptos"/>
                <w:sz w:val="17"/>
              </w:rPr>
              <w:t>$1.86</w:t>
            </w:r>
          </w:p>
        </w:tc>
      </w:tr>
      <w:tr>
        <w:tc>
          <w:tcPr>
            <w:tcW w:type="dxa" w:w="1752"/>
            <w:vAlign w:val="center"/>
            <w:tcMar>
              <w:top w:w="60" w:type="dxa"/>
              <w:start w:w="80" w:type="dxa"/>
              <w:bottom w:w="60" w:type="dxa"/>
              <w:end w:w="80" w:type="dxa"/>
            </w:tcMar>
          </w:tcPr>
          <w:p>
            <w:pPr>
              <w:spacing w:after="0" w:before="0"/>
            </w:pPr>
            <w:r>
              <w:rPr>
                <w:rFonts w:ascii="Aptos" w:hAnsi="Aptos"/>
                <w:sz w:val="17"/>
              </w:rPr>
              <w:t>10%</w:t>
            </w:r>
          </w:p>
        </w:tc>
        <w:tc>
          <w:tcPr>
            <w:tcW w:type="dxa" w:w="1752"/>
            <w:vAlign w:val="center"/>
            <w:tcMar>
              <w:top w:w="60" w:type="dxa"/>
              <w:start w:w="80" w:type="dxa"/>
              <w:bottom w:w="60" w:type="dxa"/>
              <w:end w:w="80" w:type="dxa"/>
            </w:tcMar>
          </w:tcPr>
          <w:p>
            <w:pPr>
              <w:spacing w:after="0" w:before="0"/>
            </w:pPr>
            <w:r>
              <w:rPr>
                <w:rFonts w:ascii="Aptos" w:hAnsi="Aptos"/>
                <w:sz w:val="17"/>
              </w:rPr>
              <w:t>6,658</w:t>
            </w:r>
          </w:p>
        </w:tc>
        <w:tc>
          <w:tcPr>
            <w:tcW w:type="dxa" w:w="1752"/>
            <w:vAlign w:val="center"/>
            <w:tcMar>
              <w:top w:w="60" w:type="dxa"/>
              <w:start w:w="80" w:type="dxa"/>
              <w:bottom w:w="60" w:type="dxa"/>
              <w:end w:w="80" w:type="dxa"/>
            </w:tcMar>
          </w:tcPr>
          <w:p>
            <w:pPr>
              <w:spacing w:after="0" w:before="0"/>
            </w:pPr>
            <w:r>
              <w:rPr>
                <w:rFonts w:ascii="Aptos" w:hAnsi="Aptos"/>
                <w:sz w:val="17"/>
              </w:rPr>
              <w:t>$0.51</w:t>
            </w:r>
          </w:p>
        </w:tc>
        <w:tc>
          <w:tcPr>
            <w:tcW w:type="dxa" w:w="1752"/>
            <w:vAlign w:val="center"/>
            <w:tcMar>
              <w:top w:w="60" w:type="dxa"/>
              <w:start w:w="80" w:type="dxa"/>
              <w:bottom w:w="60" w:type="dxa"/>
              <w:end w:w="80" w:type="dxa"/>
            </w:tcMar>
          </w:tcPr>
          <w:p>
            <w:pPr>
              <w:spacing w:after="0" w:before="0"/>
            </w:pPr>
            <w:r>
              <w:rPr>
                <w:rFonts w:ascii="Aptos" w:hAnsi="Aptos"/>
                <w:sz w:val="17"/>
              </w:rPr>
              <w:t>$0.70</w:t>
            </w:r>
          </w:p>
        </w:tc>
        <w:tc>
          <w:tcPr>
            <w:tcW w:type="dxa" w:w="1752"/>
            <w:vAlign w:val="center"/>
            <w:tcMar>
              <w:top w:w="60" w:type="dxa"/>
              <w:start w:w="80" w:type="dxa"/>
              <w:bottom w:w="60" w:type="dxa"/>
              <w:end w:w="80" w:type="dxa"/>
            </w:tcMar>
          </w:tcPr>
          <w:p>
            <w:pPr>
              <w:spacing w:after="0" w:before="0"/>
            </w:pPr>
            <w:r>
              <w:rPr>
                <w:rFonts w:ascii="Aptos" w:hAnsi="Aptos"/>
                <w:sz w:val="17"/>
              </w:rPr>
              <w:t>$0.80</w:t>
            </w:r>
          </w:p>
        </w:tc>
        <w:tc>
          <w:tcPr>
            <w:tcW w:type="dxa" w:w="1752"/>
            <w:vAlign w:val="center"/>
            <w:tcMar>
              <w:top w:w="60" w:type="dxa"/>
              <w:start w:w="80" w:type="dxa"/>
              <w:bottom w:w="60" w:type="dxa"/>
              <w:end w:w="80" w:type="dxa"/>
            </w:tcMar>
          </w:tcPr>
          <w:p>
            <w:pPr>
              <w:spacing w:after="0" w:before="0"/>
            </w:pPr>
            <w:r>
              <w:rPr>
                <w:rFonts w:ascii="Aptos" w:hAnsi="Aptos"/>
                <w:sz w:val="17"/>
              </w:rPr>
              <w:t>$1.01</w:t>
            </w:r>
          </w:p>
        </w:tc>
      </w:tr>
      <w:tr>
        <w:tc>
          <w:tcPr>
            <w:tcW w:type="dxa" w:w="1752"/>
            <w:vAlign w:val="center"/>
            <w:tcMar>
              <w:top w:w="60" w:type="dxa"/>
              <w:start w:w="80" w:type="dxa"/>
              <w:bottom w:w="60" w:type="dxa"/>
              <w:end w:w="80" w:type="dxa"/>
            </w:tcMar>
          </w:tcPr>
          <w:p>
            <w:pPr>
              <w:spacing w:after="0" w:before="0"/>
            </w:pPr>
            <w:r>
              <w:rPr>
                <w:rFonts w:ascii="Aptos" w:hAnsi="Aptos"/>
                <w:sz w:val="17"/>
              </w:rPr>
              <w:t>15%</w:t>
            </w:r>
          </w:p>
        </w:tc>
        <w:tc>
          <w:tcPr>
            <w:tcW w:type="dxa" w:w="1752"/>
            <w:vAlign w:val="center"/>
            <w:tcMar>
              <w:top w:w="60" w:type="dxa"/>
              <w:start w:w="80" w:type="dxa"/>
              <w:bottom w:w="60" w:type="dxa"/>
              <w:end w:w="80" w:type="dxa"/>
            </w:tcMar>
          </w:tcPr>
          <w:p>
            <w:pPr>
              <w:spacing w:after="0" w:before="0"/>
            </w:pPr>
            <w:r>
              <w:rPr>
                <w:rFonts w:ascii="Aptos" w:hAnsi="Aptos"/>
                <w:sz w:val="17"/>
              </w:rPr>
              <w:t>9,986</w:t>
            </w:r>
          </w:p>
        </w:tc>
        <w:tc>
          <w:tcPr>
            <w:tcW w:type="dxa" w:w="1752"/>
            <w:vAlign w:val="center"/>
            <w:tcMar>
              <w:top w:w="60" w:type="dxa"/>
              <w:start w:w="80" w:type="dxa"/>
              <w:bottom w:w="60" w:type="dxa"/>
              <w:end w:w="80" w:type="dxa"/>
            </w:tcMar>
          </w:tcPr>
          <w:p>
            <w:pPr>
              <w:spacing w:after="0" w:before="0"/>
            </w:pPr>
            <w:r>
              <w:rPr>
                <w:rFonts w:ascii="Aptos" w:hAnsi="Aptos"/>
                <w:sz w:val="17"/>
              </w:rPr>
              <w:t>$0.39</w:t>
            </w:r>
          </w:p>
        </w:tc>
        <w:tc>
          <w:tcPr>
            <w:tcW w:type="dxa" w:w="1752"/>
            <w:vAlign w:val="center"/>
            <w:tcMar>
              <w:top w:w="60" w:type="dxa"/>
              <w:start w:w="80" w:type="dxa"/>
              <w:bottom w:w="60" w:type="dxa"/>
              <w:end w:w="80" w:type="dxa"/>
            </w:tcMar>
          </w:tcPr>
          <w:p>
            <w:pPr>
              <w:spacing w:after="0" w:before="0"/>
            </w:pPr>
            <w:r>
              <w:rPr>
                <w:rFonts w:ascii="Aptos" w:hAnsi="Aptos"/>
                <w:sz w:val="17"/>
              </w:rPr>
              <w:t>$0.52</w:t>
            </w:r>
          </w:p>
        </w:tc>
        <w:tc>
          <w:tcPr>
            <w:tcW w:type="dxa" w:w="1752"/>
            <w:vAlign w:val="center"/>
            <w:tcMar>
              <w:top w:w="60" w:type="dxa"/>
              <w:start w:w="80" w:type="dxa"/>
              <w:bottom w:w="60" w:type="dxa"/>
              <w:end w:w="80" w:type="dxa"/>
            </w:tcMar>
          </w:tcPr>
          <w:p>
            <w:pPr>
              <w:spacing w:after="0" w:before="0"/>
            </w:pPr>
            <w:r>
              <w:rPr>
                <w:rFonts w:ascii="Aptos" w:hAnsi="Aptos"/>
                <w:sz w:val="17"/>
              </w:rPr>
              <w:t>$0.59</w:t>
            </w:r>
          </w:p>
        </w:tc>
        <w:tc>
          <w:tcPr>
            <w:tcW w:type="dxa" w:w="1752"/>
            <w:vAlign w:val="center"/>
            <w:tcMar>
              <w:top w:w="60" w:type="dxa"/>
              <w:start w:w="80" w:type="dxa"/>
              <w:bottom w:w="60" w:type="dxa"/>
              <w:end w:w="80" w:type="dxa"/>
            </w:tcMar>
          </w:tcPr>
          <w:p>
            <w:pPr>
              <w:spacing w:after="0" w:before="0"/>
            </w:pPr>
            <w:r>
              <w:rPr>
                <w:rFonts w:ascii="Aptos" w:hAnsi="Aptos"/>
                <w:sz w:val="17"/>
              </w:rPr>
              <w:t>$0.73</w:t>
            </w:r>
          </w:p>
        </w:tc>
      </w:tr>
      <w:tr>
        <w:tc>
          <w:tcPr>
            <w:tcW w:type="dxa" w:w="1752"/>
            <w:vAlign w:val="center"/>
            <w:tcMar>
              <w:top w:w="60" w:type="dxa"/>
              <w:start w:w="80" w:type="dxa"/>
              <w:bottom w:w="60" w:type="dxa"/>
              <w:end w:w="80" w:type="dxa"/>
            </w:tcMar>
          </w:tcPr>
          <w:p>
            <w:pPr>
              <w:spacing w:after="0" w:before="0"/>
            </w:pPr>
            <w:r>
              <w:rPr>
                <w:rFonts w:ascii="Aptos" w:hAnsi="Aptos"/>
                <w:sz w:val="17"/>
              </w:rPr>
              <w:t>20%</w:t>
            </w:r>
          </w:p>
        </w:tc>
        <w:tc>
          <w:tcPr>
            <w:tcW w:type="dxa" w:w="1752"/>
            <w:vAlign w:val="center"/>
            <w:tcMar>
              <w:top w:w="60" w:type="dxa"/>
              <w:start w:w="80" w:type="dxa"/>
              <w:bottom w:w="60" w:type="dxa"/>
              <w:end w:w="80" w:type="dxa"/>
            </w:tcMar>
          </w:tcPr>
          <w:p>
            <w:pPr>
              <w:spacing w:after="0" w:before="0"/>
            </w:pPr>
            <w:r>
              <w:rPr>
                <w:rFonts w:ascii="Aptos" w:hAnsi="Aptos"/>
                <w:sz w:val="17"/>
              </w:rPr>
              <w:t>13,315</w:t>
            </w:r>
          </w:p>
        </w:tc>
        <w:tc>
          <w:tcPr>
            <w:tcW w:type="dxa" w:w="1752"/>
            <w:vAlign w:val="center"/>
            <w:tcMar>
              <w:top w:w="60" w:type="dxa"/>
              <w:start w:w="80" w:type="dxa"/>
              <w:bottom w:w="60" w:type="dxa"/>
              <w:end w:w="80" w:type="dxa"/>
            </w:tcMar>
          </w:tcPr>
          <w:p>
            <w:pPr>
              <w:spacing w:after="0" w:before="0"/>
            </w:pPr>
            <w:r>
              <w:rPr>
                <w:rFonts w:ascii="Aptos" w:hAnsi="Aptos"/>
                <w:sz w:val="17"/>
              </w:rPr>
              <w:t>$0.33</w:t>
            </w:r>
          </w:p>
        </w:tc>
        <w:tc>
          <w:tcPr>
            <w:tcW w:type="dxa" w:w="1752"/>
            <w:vAlign w:val="center"/>
            <w:tcMar>
              <w:top w:w="60" w:type="dxa"/>
              <w:start w:w="80" w:type="dxa"/>
              <w:bottom w:w="60" w:type="dxa"/>
              <w:end w:w="80" w:type="dxa"/>
            </w:tcMar>
          </w:tcPr>
          <w:p>
            <w:pPr>
              <w:spacing w:after="0" w:before="0"/>
            </w:pPr>
            <w:r>
              <w:rPr>
                <w:rFonts w:ascii="Aptos" w:hAnsi="Aptos"/>
                <w:sz w:val="17"/>
              </w:rPr>
              <w:t>$0.43</w:t>
            </w:r>
          </w:p>
        </w:tc>
        <w:tc>
          <w:tcPr>
            <w:tcW w:type="dxa" w:w="1752"/>
            <w:vAlign w:val="center"/>
            <w:tcMar>
              <w:top w:w="60" w:type="dxa"/>
              <w:start w:w="80" w:type="dxa"/>
              <w:bottom w:w="60" w:type="dxa"/>
              <w:end w:w="80" w:type="dxa"/>
            </w:tcMar>
          </w:tcPr>
          <w:p>
            <w:pPr>
              <w:spacing w:after="0" w:before="0"/>
            </w:pPr>
            <w:r>
              <w:rPr>
                <w:rFonts w:ascii="Aptos" w:hAnsi="Aptos"/>
                <w:sz w:val="17"/>
              </w:rPr>
              <w:t>$0.48</w:t>
            </w:r>
          </w:p>
        </w:tc>
        <w:tc>
          <w:tcPr>
            <w:tcW w:type="dxa" w:w="1752"/>
            <w:vAlign w:val="center"/>
            <w:tcMar>
              <w:top w:w="60" w:type="dxa"/>
              <w:start w:w="80" w:type="dxa"/>
              <w:bottom w:w="60" w:type="dxa"/>
              <w:end w:w="80" w:type="dxa"/>
            </w:tcMar>
          </w:tcPr>
          <w:p>
            <w:pPr>
              <w:spacing w:after="0" w:before="0"/>
            </w:pPr>
            <w:r>
              <w:rPr>
                <w:rFonts w:ascii="Aptos" w:hAnsi="Aptos"/>
                <w:sz w:val="17"/>
              </w:rPr>
              <w:t>$0.58</w:t>
            </w:r>
          </w:p>
        </w:tc>
      </w:tr>
      <w:tr>
        <w:tc>
          <w:tcPr>
            <w:tcW w:type="dxa" w:w="1752"/>
            <w:vAlign w:val="center"/>
            <w:tcMar>
              <w:top w:w="60" w:type="dxa"/>
              <w:start w:w="80" w:type="dxa"/>
              <w:bottom w:w="60" w:type="dxa"/>
              <w:end w:w="80" w:type="dxa"/>
            </w:tcMar>
          </w:tcPr>
          <w:p>
            <w:pPr>
              <w:spacing w:after="0" w:before="0"/>
            </w:pPr>
            <w:r>
              <w:rPr>
                <w:rFonts w:ascii="Aptos" w:hAnsi="Aptos"/>
                <w:sz w:val="17"/>
              </w:rPr>
              <w:t>25%</w:t>
            </w:r>
          </w:p>
        </w:tc>
        <w:tc>
          <w:tcPr>
            <w:tcW w:type="dxa" w:w="1752"/>
            <w:vAlign w:val="center"/>
            <w:tcMar>
              <w:top w:w="60" w:type="dxa"/>
              <w:start w:w="80" w:type="dxa"/>
              <w:bottom w:w="60" w:type="dxa"/>
              <w:end w:w="80" w:type="dxa"/>
            </w:tcMar>
          </w:tcPr>
          <w:p>
            <w:pPr>
              <w:spacing w:after="0" w:before="0"/>
            </w:pPr>
            <w:r>
              <w:rPr>
                <w:rFonts w:ascii="Aptos" w:hAnsi="Aptos"/>
                <w:sz w:val="17"/>
              </w:rPr>
              <w:t>16,644</w:t>
            </w:r>
          </w:p>
        </w:tc>
        <w:tc>
          <w:tcPr>
            <w:tcW w:type="dxa" w:w="1752"/>
            <w:vAlign w:val="center"/>
            <w:tcMar>
              <w:top w:w="60" w:type="dxa"/>
              <w:start w:w="80" w:type="dxa"/>
              <w:bottom w:w="60" w:type="dxa"/>
              <w:end w:w="80" w:type="dxa"/>
            </w:tcMar>
          </w:tcPr>
          <w:p>
            <w:pPr>
              <w:spacing w:after="0" w:before="0"/>
            </w:pPr>
            <w:r>
              <w:rPr>
                <w:rFonts w:ascii="Aptos" w:hAnsi="Aptos"/>
                <w:sz w:val="17"/>
              </w:rPr>
              <w:t>$0.30</w:t>
            </w:r>
          </w:p>
        </w:tc>
        <w:tc>
          <w:tcPr>
            <w:tcW w:type="dxa" w:w="1752"/>
            <w:vAlign w:val="center"/>
            <w:tcMar>
              <w:top w:w="60" w:type="dxa"/>
              <w:start w:w="80" w:type="dxa"/>
              <w:bottom w:w="60" w:type="dxa"/>
              <w:end w:w="80" w:type="dxa"/>
            </w:tcMar>
          </w:tcPr>
          <w:p>
            <w:pPr>
              <w:spacing w:after="0" w:before="0"/>
            </w:pPr>
            <w:r>
              <w:rPr>
                <w:rFonts w:ascii="Aptos" w:hAnsi="Aptos"/>
                <w:sz w:val="17"/>
              </w:rPr>
              <w:t>$0.37</w:t>
            </w:r>
          </w:p>
        </w:tc>
        <w:tc>
          <w:tcPr>
            <w:tcW w:type="dxa" w:w="1752"/>
            <w:vAlign w:val="center"/>
            <w:tcMar>
              <w:top w:w="60" w:type="dxa"/>
              <w:start w:w="80" w:type="dxa"/>
              <w:bottom w:w="60" w:type="dxa"/>
              <w:end w:w="80" w:type="dxa"/>
            </w:tcMar>
          </w:tcPr>
          <w:p>
            <w:pPr>
              <w:spacing w:after="0" w:before="0"/>
            </w:pPr>
            <w:r>
              <w:rPr>
                <w:rFonts w:ascii="Aptos" w:hAnsi="Aptos"/>
                <w:sz w:val="17"/>
              </w:rPr>
              <w:t>$0.42</w:t>
            </w:r>
          </w:p>
        </w:tc>
        <w:tc>
          <w:tcPr>
            <w:tcW w:type="dxa" w:w="1752"/>
            <w:vAlign w:val="center"/>
            <w:tcMar>
              <w:top w:w="60" w:type="dxa"/>
              <w:start w:w="80" w:type="dxa"/>
              <w:bottom w:w="60" w:type="dxa"/>
              <w:end w:w="80" w:type="dxa"/>
            </w:tcMar>
          </w:tcPr>
          <w:p>
            <w:pPr>
              <w:spacing w:after="0" w:before="0"/>
            </w:pPr>
            <w:r>
              <w:rPr>
                <w:rFonts w:ascii="Aptos" w:hAnsi="Aptos"/>
                <w:sz w:val="17"/>
              </w:rPr>
              <w:t>$0.50</w:t>
            </w:r>
          </w:p>
        </w:tc>
      </w:tr>
      <w:tr>
        <w:tc>
          <w:tcPr>
            <w:tcW w:type="dxa" w:w="1752"/>
            <w:vAlign w:val="center"/>
            <w:tcMar>
              <w:top w:w="60" w:type="dxa"/>
              <w:start w:w="80" w:type="dxa"/>
              <w:bottom w:w="60" w:type="dxa"/>
              <w:end w:w="80" w:type="dxa"/>
            </w:tcMar>
          </w:tcPr>
          <w:p>
            <w:pPr>
              <w:spacing w:after="0" w:before="0"/>
            </w:pPr>
            <w:r>
              <w:rPr>
                <w:rFonts w:ascii="Aptos" w:hAnsi="Aptos"/>
                <w:sz w:val="17"/>
              </w:rPr>
              <w:t>30%</w:t>
            </w:r>
          </w:p>
        </w:tc>
        <w:tc>
          <w:tcPr>
            <w:tcW w:type="dxa" w:w="1752"/>
            <w:vAlign w:val="center"/>
            <w:tcMar>
              <w:top w:w="60" w:type="dxa"/>
              <w:start w:w="80" w:type="dxa"/>
              <w:bottom w:w="60" w:type="dxa"/>
              <w:end w:w="80" w:type="dxa"/>
            </w:tcMar>
          </w:tcPr>
          <w:p>
            <w:pPr>
              <w:spacing w:after="0" w:before="0"/>
            </w:pPr>
            <w:r>
              <w:rPr>
                <w:rFonts w:ascii="Aptos" w:hAnsi="Aptos"/>
                <w:sz w:val="17"/>
              </w:rPr>
              <w:t>19,973</w:t>
            </w:r>
          </w:p>
        </w:tc>
        <w:tc>
          <w:tcPr>
            <w:tcW w:type="dxa" w:w="1752"/>
            <w:vAlign w:val="center"/>
            <w:tcMar>
              <w:top w:w="60" w:type="dxa"/>
              <w:start w:w="80" w:type="dxa"/>
              <w:bottom w:w="60" w:type="dxa"/>
              <w:end w:w="80" w:type="dxa"/>
            </w:tcMar>
          </w:tcPr>
          <w:p>
            <w:pPr>
              <w:spacing w:after="0" w:before="0"/>
            </w:pPr>
            <w:r>
              <w:rPr>
                <w:rFonts w:ascii="Aptos" w:hAnsi="Aptos"/>
                <w:sz w:val="17"/>
              </w:rPr>
              <w:t>$0.28</w:t>
            </w:r>
          </w:p>
        </w:tc>
        <w:tc>
          <w:tcPr>
            <w:tcW w:type="dxa" w:w="1752"/>
            <w:vAlign w:val="center"/>
            <w:tcMar>
              <w:top w:w="60" w:type="dxa"/>
              <w:start w:w="80" w:type="dxa"/>
              <w:bottom w:w="60" w:type="dxa"/>
              <w:end w:w="80" w:type="dxa"/>
            </w:tcMar>
          </w:tcPr>
          <w:p>
            <w:pPr>
              <w:spacing w:after="0" w:before="0"/>
            </w:pPr>
            <w:r>
              <w:rPr>
                <w:rFonts w:ascii="Aptos" w:hAnsi="Aptos"/>
                <w:sz w:val="17"/>
              </w:rPr>
              <w:t>$0.34</w:t>
            </w:r>
          </w:p>
        </w:tc>
        <w:tc>
          <w:tcPr>
            <w:tcW w:type="dxa" w:w="1752"/>
            <w:vAlign w:val="center"/>
            <w:tcMar>
              <w:top w:w="60" w:type="dxa"/>
              <w:start w:w="80" w:type="dxa"/>
              <w:bottom w:w="60" w:type="dxa"/>
              <w:end w:w="80" w:type="dxa"/>
            </w:tcMar>
          </w:tcPr>
          <w:p>
            <w:pPr>
              <w:spacing w:after="0" w:before="0"/>
            </w:pPr>
            <w:r>
              <w:rPr>
                <w:rFonts w:ascii="Aptos" w:hAnsi="Aptos"/>
                <w:sz w:val="17"/>
              </w:rPr>
              <w:t>$0.37</w:t>
            </w:r>
          </w:p>
        </w:tc>
        <w:tc>
          <w:tcPr>
            <w:tcW w:type="dxa" w:w="1752"/>
            <w:vAlign w:val="center"/>
            <w:tcMar>
              <w:top w:w="60" w:type="dxa"/>
              <w:start w:w="80" w:type="dxa"/>
              <w:bottom w:w="60" w:type="dxa"/>
              <w:end w:w="80" w:type="dxa"/>
            </w:tcMar>
          </w:tcPr>
          <w:p>
            <w:pPr>
              <w:spacing w:after="0" w:before="0"/>
            </w:pPr>
            <w:r>
              <w:rPr>
                <w:rFonts w:ascii="Aptos" w:hAnsi="Aptos"/>
                <w:sz w:val="17"/>
              </w:rPr>
              <w:t>$0.44</w:t>
            </w:r>
          </w:p>
        </w:tc>
      </w:tr>
      <w:tr>
        <w:tc>
          <w:tcPr>
            <w:tcW w:type="dxa" w:w="1752"/>
            <w:vAlign w:val="center"/>
            <w:tcMar>
              <w:top w:w="60" w:type="dxa"/>
              <w:start w:w="80" w:type="dxa"/>
              <w:bottom w:w="60" w:type="dxa"/>
              <w:end w:w="80" w:type="dxa"/>
            </w:tcMar>
          </w:tcPr>
          <w:p>
            <w:pPr>
              <w:spacing w:after="0" w:before="0"/>
            </w:pPr>
            <w:r>
              <w:rPr>
                <w:rFonts w:ascii="Aptos" w:hAnsi="Aptos"/>
                <w:sz w:val="17"/>
              </w:rPr>
              <w:t>40%</w:t>
            </w:r>
          </w:p>
        </w:tc>
        <w:tc>
          <w:tcPr>
            <w:tcW w:type="dxa" w:w="1752"/>
            <w:vAlign w:val="center"/>
            <w:tcMar>
              <w:top w:w="60" w:type="dxa"/>
              <w:start w:w="80" w:type="dxa"/>
              <w:bottom w:w="60" w:type="dxa"/>
              <w:end w:w="80" w:type="dxa"/>
            </w:tcMar>
          </w:tcPr>
          <w:p>
            <w:pPr>
              <w:spacing w:after="0" w:before="0"/>
            </w:pPr>
            <w:r>
              <w:rPr>
                <w:rFonts w:ascii="Aptos" w:hAnsi="Aptos"/>
                <w:sz w:val="17"/>
              </w:rPr>
              <w:t>26,630</w:t>
            </w:r>
          </w:p>
        </w:tc>
        <w:tc>
          <w:tcPr>
            <w:tcW w:type="dxa" w:w="1752"/>
            <w:vAlign w:val="center"/>
            <w:tcMar>
              <w:top w:w="60" w:type="dxa"/>
              <w:start w:w="80" w:type="dxa"/>
              <w:bottom w:w="60" w:type="dxa"/>
              <w:end w:w="80" w:type="dxa"/>
            </w:tcMar>
          </w:tcPr>
          <w:p>
            <w:pPr>
              <w:spacing w:after="0" w:before="0"/>
            </w:pPr>
            <w:r>
              <w:rPr>
                <w:rFonts w:ascii="Aptos" w:hAnsi="Aptos"/>
                <w:sz w:val="17"/>
              </w:rPr>
              <w:t>$0.25</w:t>
            </w:r>
          </w:p>
        </w:tc>
        <w:tc>
          <w:tcPr>
            <w:tcW w:type="dxa" w:w="1752"/>
            <w:vAlign w:val="center"/>
            <w:tcMar>
              <w:top w:w="60" w:type="dxa"/>
              <w:start w:w="80" w:type="dxa"/>
              <w:bottom w:w="60" w:type="dxa"/>
              <w:end w:w="80" w:type="dxa"/>
            </w:tcMar>
          </w:tcPr>
          <w:p>
            <w:pPr>
              <w:spacing w:after="0" w:before="0"/>
            </w:pPr>
            <w:r>
              <w:rPr>
                <w:rFonts w:ascii="Aptos" w:hAnsi="Aptos"/>
                <w:sz w:val="17"/>
              </w:rPr>
              <w:t>$0.29</w:t>
            </w:r>
          </w:p>
        </w:tc>
        <w:tc>
          <w:tcPr>
            <w:tcW w:type="dxa" w:w="1752"/>
            <w:vAlign w:val="center"/>
            <w:tcMar>
              <w:top w:w="60" w:type="dxa"/>
              <w:start w:w="80" w:type="dxa"/>
              <w:bottom w:w="60" w:type="dxa"/>
              <w:end w:w="80" w:type="dxa"/>
            </w:tcMar>
          </w:tcPr>
          <w:p>
            <w:pPr>
              <w:spacing w:after="0" w:before="0"/>
            </w:pPr>
            <w:r>
              <w:rPr>
                <w:rFonts w:ascii="Aptos" w:hAnsi="Aptos"/>
                <w:sz w:val="17"/>
              </w:rPr>
              <w:t>$0.32</w:t>
            </w:r>
          </w:p>
        </w:tc>
        <w:tc>
          <w:tcPr>
            <w:tcW w:type="dxa" w:w="1752"/>
            <w:vAlign w:val="center"/>
            <w:tcMar>
              <w:top w:w="60" w:type="dxa"/>
              <w:start w:w="80" w:type="dxa"/>
              <w:bottom w:w="60" w:type="dxa"/>
              <w:end w:w="80" w:type="dxa"/>
            </w:tcMar>
          </w:tcPr>
          <w:p>
            <w:pPr>
              <w:spacing w:after="0" w:before="0"/>
            </w:pPr>
            <w:r>
              <w:rPr>
                <w:rFonts w:ascii="Aptos" w:hAnsi="Aptos"/>
                <w:sz w:val="17"/>
              </w:rPr>
              <w:t>$0.37</w:t>
            </w:r>
          </w:p>
        </w:tc>
      </w:tr>
      <w:tr>
        <w:tc>
          <w:tcPr>
            <w:tcW w:type="dxa" w:w="1752"/>
            <w:vAlign w:val="center"/>
            <w:tcMar>
              <w:top w:w="60" w:type="dxa"/>
              <w:start w:w="80" w:type="dxa"/>
              <w:bottom w:w="60" w:type="dxa"/>
              <w:end w:w="80" w:type="dxa"/>
            </w:tcMar>
          </w:tcPr>
          <w:p>
            <w:pPr>
              <w:spacing w:after="0" w:before="0"/>
            </w:pPr>
            <w:r>
              <w:rPr>
                <w:rFonts w:ascii="Aptos" w:hAnsi="Aptos"/>
                <w:sz w:val="17"/>
              </w:rPr>
              <w:t>50%</w:t>
            </w:r>
          </w:p>
        </w:tc>
        <w:tc>
          <w:tcPr>
            <w:tcW w:type="dxa" w:w="1752"/>
            <w:vAlign w:val="center"/>
            <w:tcMar>
              <w:top w:w="60" w:type="dxa"/>
              <w:start w:w="80" w:type="dxa"/>
              <w:bottom w:w="60" w:type="dxa"/>
              <w:end w:w="80" w:type="dxa"/>
            </w:tcMar>
          </w:tcPr>
          <w:p>
            <w:pPr>
              <w:spacing w:after="0" w:before="0"/>
            </w:pPr>
            <w:r>
              <w:rPr>
                <w:rFonts w:ascii="Aptos" w:hAnsi="Aptos"/>
                <w:sz w:val="17"/>
              </w:rPr>
              <w:t>33,288</w:t>
            </w:r>
          </w:p>
        </w:tc>
        <w:tc>
          <w:tcPr>
            <w:tcW w:type="dxa" w:w="1752"/>
            <w:vAlign w:val="center"/>
            <w:tcMar>
              <w:top w:w="60" w:type="dxa"/>
              <w:start w:w="80" w:type="dxa"/>
              <w:bottom w:w="60" w:type="dxa"/>
              <w:end w:w="80" w:type="dxa"/>
            </w:tcMar>
          </w:tcPr>
          <w:p>
            <w:pPr>
              <w:spacing w:after="0" w:before="0"/>
            </w:pPr>
            <w:r>
              <w:rPr>
                <w:rFonts w:ascii="Aptos" w:hAnsi="Aptos"/>
                <w:sz w:val="17"/>
              </w:rPr>
              <w:t>$0.23</w:t>
            </w:r>
          </w:p>
        </w:tc>
        <w:tc>
          <w:tcPr>
            <w:tcW w:type="dxa" w:w="1752"/>
            <w:vAlign w:val="center"/>
            <w:tcMar>
              <w:top w:w="60" w:type="dxa"/>
              <w:start w:w="80" w:type="dxa"/>
              <w:bottom w:w="60" w:type="dxa"/>
              <w:end w:w="80" w:type="dxa"/>
            </w:tcMar>
          </w:tcPr>
          <w:p>
            <w:pPr>
              <w:spacing w:after="0" w:before="0"/>
            </w:pPr>
            <w:r>
              <w:rPr>
                <w:rFonts w:ascii="Aptos" w:hAnsi="Aptos"/>
                <w:sz w:val="17"/>
              </w:rPr>
              <w:t>$0.27</w:t>
            </w:r>
          </w:p>
        </w:tc>
        <w:tc>
          <w:tcPr>
            <w:tcW w:type="dxa" w:w="1752"/>
            <w:vAlign w:val="center"/>
            <w:tcMar>
              <w:top w:w="60" w:type="dxa"/>
              <w:start w:w="80" w:type="dxa"/>
              <w:bottom w:w="60" w:type="dxa"/>
              <w:end w:w="80" w:type="dxa"/>
            </w:tcMar>
          </w:tcPr>
          <w:p>
            <w:pPr>
              <w:spacing w:after="0" w:before="0"/>
            </w:pPr>
            <w:r>
              <w:rPr>
                <w:rFonts w:ascii="Aptos" w:hAnsi="Aptos"/>
                <w:sz w:val="17"/>
              </w:rPr>
              <w:t>$0.29</w:t>
            </w:r>
          </w:p>
        </w:tc>
        <w:tc>
          <w:tcPr>
            <w:tcW w:type="dxa" w:w="1752"/>
            <w:vAlign w:val="center"/>
            <w:tcMar>
              <w:top w:w="60" w:type="dxa"/>
              <w:start w:w="80" w:type="dxa"/>
              <w:bottom w:w="60" w:type="dxa"/>
              <w:end w:w="80" w:type="dxa"/>
            </w:tcMar>
          </w:tcPr>
          <w:p>
            <w:pPr>
              <w:spacing w:after="0" w:before="0"/>
            </w:pPr>
            <w:r>
              <w:rPr>
                <w:rFonts w:ascii="Aptos" w:hAnsi="Aptos"/>
                <w:sz w:val="17"/>
              </w:rPr>
              <w:t>$0.33</w:t>
            </w:r>
          </w:p>
        </w:tc>
      </w:tr>
    </w:tbl>
    <w:p>
      <w:r>
        <w:rPr>
          <w:b/>
        </w:rPr>
        <w:t xml:space="preserve">Central case. </w:t>
      </w:r>
      <w:r>
        <w:t>At $7,500 installed cost, break-even falls from about $0.52/kWh at 15% utilization to $0.43 at 20%, $0.38 at 25%, and $0.34 at 30%. At the $3,000 best-case installation cost, the corresponding values are approximately $0.39, $0.33, $0.30, and $0.28/kWh.</w:t>
      </w:r>
    </w:p>
    <w:p>
      <w:pPr>
        <w:pStyle w:val="Heading1"/>
      </w:pPr>
      <w:r>
        <w:t>5. Break-even retail price: building-hosted service</w:t>
      </w:r>
    </w:p>
    <w:p>
      <w:r>
        <w:t>A building-hosted architecture can reduce make-ready and utility-interconnection cost by using spare capacity in an adjacent building. It's electric publicly states that it separately meters this electricity, reimburses the property owner for electricity, and pays a 6¢/kWh revenue share. The table below therefore adds 6¢ per delivered kWh while omitting a separate new-service customer charge.</w:t>
      </w:r>
    </w:p>
    <w:tbl>
      <w:tblPr>
        <w:tblStyle w:val="TableGrid"/>
        <w:tblW w:type="auto" w:w="0"/>
        <w:jc w:val="center"/>
        <w:tblLook w:firstColumn="1" w:firstRow="1" w:lastColumn="0" w:lastRow="0" w:noHBand="0" w:noVBand="1" w:val="04A0"/>
      </w:tblPr>
      <w:tblGrid>
        <w:gridCol w:w="2102"/>
        <w:gridCol w:w="2102"/>
        <w:gridCol w:w="2102"/>
        <w:gridCol w:w="2102"/>
        <w:gridCol w:w="2102"/>
      </w:tblGrid>
      <w:tr>
        <w:tc>
          <w:tcPr>
            <w:tcW w:type="dxa" w:w="2102"/>
            <w:vAlign w:val="center"/>
            <w:tcMar>
              <w:top w:w="60" w:type="dxa"/>
              <w:start w:w="80" w:type="dxa"/>
              <w:bottom w:w="60" w:type="dxa"/>
              <w:end w:w="80" w:type="dxa"/>
            </w:tcMar>
            <w:shd w:fill="D9EAF7"/>
          </w:tcPr>
          <w:p>
            <w:pPr>
              <w:spacing w:after="0" w:before="0"/>
            </w:pPr>
            <w:r>
              <w:rPr>
                <w:rFonts w:ascii="Aptos" w:hAnsi="Aptos"/>
                <w:b/>
                <w:sz w:val="17"/>
              </w:rPr>
              <w:t>Utilization</w:t>
            </w:r>
          </w:p>
        </w:tc>
        <w:tc>
          <w:tcPr>
            <w:tcW w:type="dxa" w:w="2102"/>
            <w:vAlign w:val="center"/>
            <w:tcMar>
              <w:top w:w="60" w:type="dxa"/>
              <w:start w:w="80" w:type="dxa"/>
              <w:bottom w:w="60" w:type="dxa"/>
              <w:end w:w="80" w:type="dxa"/>
            </w:tcMar>
            <w:shd w:fill="D9EAF7"/>
          </w:tcPr>
          <w:p>
            <w:pPr>
              <w:spacing w:after="0" w:before="0"/>
            </w:pPr>
            <w:r>
              <w:rPr>
                <w:rFonts w:ascii="Aptos" w:hAnsi="Aptos"/>
                <w:b/>
                <w:sz w:val="17"/>
              </w:rPr>
              <w:t>$3k install</w:t>
            </w:r>
          </w:p>
        </w:tc>
        <w:tc>
          <w:tcPr>
            <w:tcW w:type="dxa" w:w="2102"/>
            <w:vAlign w:val="center"/>
            <w:tcMar>
              <w:top w:w="60" w:type="dxa"/>
              <w:start w:w="80" w:type="dxa"/>
              <w:bottom w:w="60" w:type="dxa"/>
              <w:end w:w="80" w:type="dxa"/>
            </w:tcMar>
            <w:shd w:fill="D9EAF7"/>
          </w:tcPr>
          <w:p>
            <w:pPr>
              <w:spacing w:after="0" w:before="0"/>
            </w:pPr>
            <w:r>
              <w:rPr>
                <w:rFonts w:ascii="Aptos" w:hAnsi="Aptos"/>
                <w:b/>
                <w:sz w:val="17"/>
              </w:rPr>
              <w:t>$7.5k install</w:t>
            </w:r>
          </w:p>
        </w:tc>
        <w:tc>
          <w:tcPr>
            <w:tcW w:type="dxa" w:w="2102"/>
            <w:vAlign w:val="center"/>
            <w:tcMar>
              <w:top w:w="60" w:type="dxa"/>
              <w:start w:w="80" w:type="dxa"/>
              <w:bottom w:w="60" w:type="dxa"/>
              <w:end w:w="80" w:type="dxa"/>
            </w:tcMar>
            <w:shd w:fill="D9EAF7"/>
          </w:tcPr>
          <w:p>
            <w:pPr>
              <w:spacing w:after="0" w:before="0"/>
            </w:pPr>
            <w:r>
              <w:rPr>
                <w:rFonts w:ascii="Aptos" w:hAnsi="Aptos"/>
                <w:b/>
                <w:sz w:val="17"/>
              </w:rPr>
              <w:t>$10k install</w:t>
            </w:r>
          </w:p>
        </w:tc>
        <w:tc>
          <w:tcPr>
            <w:tcW w:type="dxa" w:w="2102"/>
            <w:vAlign w:val="center"/>
            <w:tcMar>
              <w:top w:w="60" w:type="dxa"/>
              <w:start w:w="80" w:type="dxa"/>
              <w:bottom w:w="60" w:type="dxa"/>
              <w:end w:w="80" w:type="dxa"/>
            </w:tcMar>
            <w:shd w:fill="D9EAF7"/>
          </w:tcPr>
          <w:p>
            <w:pPr>
              <w:spacing w:after="0" w:before="0"/>
            </w:pPr>
            <w:r>
              <w:rPr>
                <w:rFonts w:ascii="Aptos" w:hAnsi="Aptos"/>
                <w:b/>
                <w:sz w:val="17"/>
              </w:rPr>
              <w:t>$15k install</w:t>
            </w:r>
          </w:p>
        </w:tc>
      </w:tr>
      <w:tr>
        <w:tc>
          <w:tcPr>
            <w:tcW w:type="dxa" w:w="2102"/>
            <w:vAlign w:val="center"/>
            <w:tcMar>
              <w:top w:w="60" w:type="dxa"/>
              <w:start w:w="80" w:type="dxa"/>
              <w:bottom w:w="60" w:type="dxa"/>
              <w:end w:w="80" w:type="dxa"/>
            </w:tcMar>
          </w:tcPr>
          <w:p>
            <w:pPr>
              <w:spacing w:after="0" w:before="0"/>
            </w:pPr>
            <w:r>
              <w:rPr>
                <w:rFonts w:ascii="Aptos" w:hAnsi="Aptos"/>
                <w:sz w:val="17"/>
              </w:rPr>
              <w:t>5%</w:t>
            </w:r>
          </w:p>
        </w:tc>
        <w:tc>
          <w:tcPr>
            <w:tcW w:type="dxa" w:w="2102"/>
            <w:vAlign w:val="center"/>
            <w:tcMar>
              <w:top w:w="60" w:type="dxa"/>
              <w:start w:w="80" w:type="dxa"/>
              <w:bottom w:w="60" w:type="dxa"/>
              <w:end w:w="80" w:type="dxa"/>
            </w:tcMar>
          </w:tcPr>
          <w:p>
            <w:pPr>
              <w:spacing w:after="0" w:before="0"/>
            </w:pPr>
            <w:r>
              <w:rPr>
                <w:rFonts w:ascii="Aptos" w:hAnsi="Aptos"/>
                <w:sz w:val="17"/>
              </w:rPr>
              <w:t>$0.87</w:t>
            </w:r>
          </w:p>
        </w:tc>
        <w:tc>
          <w:tcPr>
            <w:tcW w:type="dxa" w:w="2102"/>
            <w:vAlign w:val="center"/>
            <w:tcMar>
              <w:top w:w="60" w:type="dxa"/>
              <w:start w:w="80" w:type="dxa"/>
              <w:bottom w:w="60" w:type="dxa"/>
              <w:end w:w="80" w:type="dxa"/>
            </w:tcMar>
          </w:tcPr>
          <w:p>
            <w:pPr>
              <w:spacing w:after="0" w:before="0"/>
            </w:pPr>
            <w:r>
              <w:rPr>
                <w:rFonts w:ascii="Aptos" w:hAnsi="Aptos"/>
                <w:sz w:val="17"/>
              </w:rPr>
              <w:t>$1.24</w:t>
            </w:r>
          </w:p>
        </w:tc>
        <w:tc>
          <w:tcPr>
            <w:tcW w:type="dxa" w:w="2102"/>
            <w:vAlign w:val="center"/>
            <w:tcMar>
              <w:top w:w="60" w:type="dxa"/>
              <w:start w:w="80" w:type="dxa"/>
              <w:bottom w:w="60" w:type="dxa"/>
              <w:end w:w="80" w:type="dxa"/>
            </w:tcMar>
          </w:tcPr>
          <w:p>
            <w:pPr>
              <w:spacing w:after="0" w:before="0"/>
            </w:pPr>
            <w:r>
              <w:rPr>
                <w:rFonts w:ascii="Aptos" w:hAnsi="Aptos"/>
                <w:sz w:val="17"/>
              </w:rPr>
              <w:t>$1.45</w:t>
            </w:r>
          </w:p>
        </w:tc>
        <w:tc>
          <w:tcPr>
            <w:tcW w:type="dxa" w:w="2102"/>
            <w:vAlign w:val="center"/>
            <w:tcMar>
              <w:top w:w="60" w:type="dxa"/>
              <w:start w:w="80" w:type="dxa"/>
              <w:bottom w:w="60" w:type="dxa"/>
              <w:end w:w="80" w:type="dxa"/>
            </w:tcMar>
          </w:tcPr>
          <w:p>
            <w:pPr>
              <w:spacing w:after="0" w:before="0"/>
            </w:pPr>
            <w:r>
              <w:rPr>
                <w:rFonts w:ascii="Aptos" w:hAnsi="Aptos"/>
                <w:sz w:val="17"/>
              </w:rPr>
              <w:t>$1.87</w:t>
            </w:r>
          </w:p>
        </w:tc>
      </w:tr>
      <w:tr>
        <w:tc>
          <w:tcPr>
            <w:tcW w:type="dxa" w:w="2102"/>
            <w:vAlign w:val="center"/>
            <w:tcMar>
              <w:top w:w="60" w:type="dxa"/>
              <w:start w:w="80" w:type="dxa"/>
              <w:bottom w:w="60" w:type="dxa"/>
              <w:end w:w="80" w:type="dxa"/>
            </w:tcMar>
          </w:tcPr>
          <w:p>
            <w:pPr>
              <w:spacing w:after="0" w:before="0"/>
            </w:pPr>
            <w:r>
              <w:rPr>
                <w:rFonts w:ascii="Aptos" w:hAnsi="Aptos"/>
                <w:sz w:val="17"/>
              </w:rPr>
              <w:t>10%</w:t>
            </w:r>
          </w:p>
        </w:tc>
        <w:tc>
          <w:tcPr>
            <w:tcW w:type="dxa" w:w="2102"/>
            <w:vAlign w:val="center"/>
            <w:tcMar>
              <w:top w:w="60" w:type="dxa"/>
              <w:start w:w="80" w:type="dxa"/>
              <w:bottom w:w="60" w:type="dxa"/>
              <w:end w:w="80" w:type="dxa"/>
            </w:tcMar>
          </w:tcPr>
          <w:p>
            <w:pPr>
              <w:spacing w:after="0" w:before="0"/>
            </w:pPr>
            <w:r>
              <w:rPr>
                <w:rFonts w:ascii="Aptos" w:hAnsi="Aptos"/>
                <w:sz w:val="17"/>
              </w:rPr>
              <w:t>$0.55</w:t>
            </w:r>
          </w:p>
        </w:tc>
        <w:tc>
          <w:tcPr>
            <w:tcW w:type="dxa" w:w="2102"/>
            <w:vAlign w:val="center"/>
            <w:tcMar>
              <w:top w:w="60" w:type="dxa"/>
              <w:start w:w="80" w:type="dxa"/>
              <w:bottom w:w="60" w:type="dxa"/>
              <w:end w:w="80" w:type="dxa"/>
            </w:tcMar>
          </w:tcPr>
          <w:p>
            <w:pPr>
              <w:spacing w:after="0" w:before="0"/>
            </w:pPr>
            <w:r>
              <w:rPr>
                <w:rFonts w:ascii="Aptos" w:hAnsi="Aptos"/>
                <w:sz w:val="17"/>
              </w:rPr>
              <w:t>$0.73</w:t>
            </w:r>
          </w:p>
        </w:tc>
        <w:tc>
          <w:tcPr>
            <w:tcW w:type="dxa" w:w="2102"/>
            <w:vAlign w:val="center"/>
            <w:tcMar>
              <w:top w:w="60" w:type="dxa"/>
              <w:start w:w="80" w:type="dxa"/>
              <w:bottom w:w="60" w:type="dxa"/>
              <w:end w:w="80" w:type="dxa"/>
            </w:tcMar>
          </w:tcPr>
          <w:p>
            <w:pPr>
              <w:spacing w:after="0" w:before="0"/>
            </w:pPr>
            <w:r>
              <w:rPr>
                <w:rFonts w:ascii="Aptos" w:hAnsi="Aptos"/>
                <w:sz w:val="17"/>
              </w:rPr>
              <w:t>$0.84</w:t>
            </w:r>
          </w:p>
        </w:tc>
        <w:tc>
          <w:tcPr>
            <w:tcW w:type="dxa" w:w="2102"/>
            <w:vAlign w:val="center"/>
            <w:tcMar>
              <w:top w:w="60" w:type="dxa"/>
              <w:start w:w="80" w:type="dxa"/>
              <w:bottom w:w="60" w:type="dxa"/>
              <w:end w:w="80" w:type="dxa"/>
            </w:tcMar>
          </w:tcPr>
          <w:p>
            <w:pPr>
              <w:spacing w:after="0" w:before="0"/>
            </w:pPr>
            <w:r>
              <w:rPr>
                <w:rFonts w:ascii="Aptos" w:hAnsi="Aptos"/>
                <w:sz w:val="17"/>
              </w:rPr>
              <w:t>$1.05</w:t>
            </w:r>
          </w:p>
        </w:tc>
      </w:tr>
      <w:tr>
        <w:tc>
          <w:tcPr>
            <w:tcW w:type="dxa" w:w="2102"/>
            <w:vAlign w:val="center"/>
            <w:tcMar>
              <w:top w:w="60" w:type="dxa"/>
              <w:start w:w="80" w:type="dxa"/>
              <w:bottom w:w="60" w:type="dxa"/>
              <w:end w:w="80" w:type="dxa"/>
            </w:tcMar>
          </w:tcPr>
          <w:p>
            <w:pPr>
              <w:spacing w:after="0" w:before="0"/>
            </w:pPr>
            <w:r>
              <w:rPr>
                <w:rFonts w:ascii="Aptos" w:hAnsi="Aptos"/>
                <w:sz w:val="17"/>
              </w:rPr>
              <w:t>15%</w:t>
            </w:r>
          </w:p>
        </w:tc>
        <w:tc>
          <w:tcPr>
            <w:tcW w:type="dxa" w:w="2102"/>
            <w:vAlign w:val="center"/>
            <w:tcMar>
              <w:top w:w="60" w:type="dxa"/>
              <w:start w:w="80" w:type="dxa"/>
              <w:bottom w:w="60" w:type="dxa"/>
              <w:end w:w="80" w:type="dxa"/>
            </w:tcMar>
          </w:tcPr>
          <w:p>
            <w:pPr>
              <w:spacing w:after="0" w:before="0"/>
            </w:pPr>
            <w:r>
              <w:rPr>
                <w:rFonts w:ascii="Aptos" w:hAnsi="Aptos"/>
                <w:sz w:val="17"/>
              </w:rPr>
              <w:t>$0.44</w:t>
            </w:r>
          </w:p>
        </w:tc>
        <w:tc>
          <w:tcPr>
            <w:tcW w:type="dxa" w:w="2102"/>
            <w:vAlign w:val="center"/>
            <w:tcMar>
              <w:top w:w="60" w:type="dxa"/>
              <w:start w:w="80" w:type="dxa"/>
              <w:bottom w:w="60" w:type="dxa"/>
              <w:end w:w="80" w:type="dxa"/>
            </w:tcMar>
          </w:tcPr>
          <w:p>
            <w:pPr>
              <w:spacing w:after="0" w:before="0"/>
            </w:pPr>
            <w:r>
              <w:rPr>
                <w:rFonts w:ascii="Aptos" w:hAnsi="Aptos"/>
                <w:sz w:val="17"/>
              </w:rPr>
              <w:t>$0.56</w:t>
            </w:r>
          </w:p>
        </w:tc>
        <w:tc>
          <w:tcPr>
            <w:tcW w:type="dxa" w:w="2102"/>
            <w:vAlign w:val="center"/>
            <w:tcMar>
              <w:top w:w="60" w:type="dxa"/>
              <w:start w:w="80" w:type="dxa"/>
              <w:bottom w:w="60" w:type="dxa"/>
              <w:end w:w="80" w:type="dxa"/>
            </w:tcMar>
          </w:tcPr>
          <w:p>
            <w:pPr>
              <w:spacing w:after="0" w:before="0"/>
            </w:pPr>
            <w:r>
              <w:rPr>
                <w:rFonts w:ascii="Aptos" w:hAnsi="Aptos"/>
                <w:sz w:val="17"/>
              </w:rPr>
              <w:t>$0.63</w:t>
            </w:r>
          </w:p>
        </w:tc>
        <w:tc>
          <w:tcPr>
            <w:tcW w:type="dxa" w:w="2102"/>
            <w:vAlign w:val="center"/>
            <w:tcMar>
              <w:top w:w="60" w:type="dxa"/>
              <w:start w:w="80" w:type="dxa"/>
              <w:bottom w:w="60" w:type="dxa"/>
              <w:end w:w="80" w:type="dxa"/>
            </w:tcMar>
          </w:tcPr>
          <w:p>
            <w:pPr>
              <w:spacing w:after="0" w:before="0"/>
            </w:pPr>
            <w:r>
              <w:rPr>
                <w:rFonts w:ascii="Aptos" w:hAnsi="Aptos"/>
                <w:sz w:val="17"/>
              </w:rPr>
              <w:t>$0.77</w:t>
            </w:r>
          </w:p>
        </w:tc>
      </w:tr>
      <w:tr>
        <w:tc>
          <w:tcPr>
            <w:tcW w:type="dxa" w:w="2102"/>
            <w:vAlign w:val="center"/>
            <w:tcMar>
              <w:top w:w="60" w:type="dxa"/>
              <w:start w:w="80" w:type="dxa"/>
              <w:bottom w:w="60" w:type="dxa"/>
              <w:end w:w="80" w:type="dxa"/>
            </w:tcMar>
          </w:tcPr>
          <w:p>
            <w:pPr>
              <w:spacing w:after="0" w:before="0"/>
            </w:pPr>
            <w:r>
              <w:rPr>
                <w:rFonts w:ascii="Aptos" w:hAnsi="Aptos"/>
                <w:sz w:val="17"/>
              </w:rPr>
              <w:t>20%</w:t>
            </w:r>
          </w:p>
        </w:tc>
        <w:tc>
          <w:tcPr>
            <w:tcW w:type="dxa" w:w="2102"/>
            <w:vAlign w:val="center"/>
            <w:tcMar>
              <w:top w:w="60" w:type="dxa"/>
              <w:start w:w="80" w:type="dxa"/>
              <w:bottom w:w="60" w:type="dxa"/>
              <w:end w:w="80" w:type="dxa"/>
            </w:tcMar>
          </w:tcPr>
          <w:p>
            <w:pPr>
              <w:spacing w:after="0" w:before="0"/>
            </w:pPr>
            <w:r>
              <w:rPr>
                <w:rFonts w:ascii="Aptos" w:hAnsi="Aptos"/>
                <w:sz w:val="17"/>
              </w:rPr>
              <w:t>$0.38</w:t>
            </w:r>
          </w:p>
        </w:tc>
        <w:tc>
          <w:tcPr>
            <w:tcW w:type="dxa" w:w="2102"/>
            <w:vAlign w:val="center"/>
            <w:tcMar>
              <w:top w:w="60" w:type="dxa"/>
              <w:start w:w="80" w:type="dxa"/>
              <w:bottom w:w="60" w:type="dxa"/>
              <w:end w:w="80" w:type="dxa"/>
            </w:tcMar>
          </w:tcPr>
          <w:p>
            <w:pPr>
              <w:spacing w:after="0" w:before="0"/>
            </w:pPr>
            <w:r>
              <w:rPr>
                <w:rFonts w:ascii="Aptos" w:hAnsi="Aptos"/>
                <w:sz w:val="17"/>
              </w:rPr>
              <w:t>$0.48</w:t>
            </w:r>
          </w:p>
        </w:tc>
        <w:tc>
          <w:tcPr>
            <w:tcW w:type="dxa" w:w="2102"/>
            <w:vAlign w:val="center"/>
            <w:tcMar>
              <w:top w:w="60" w:type="dxa"/>
              <w:start w:w="80" w:type="dxa"/>
              <w:bottom w:w="60" w:type="dxa"/>
              <w:end w:w="80" w:type="dxa"/>
            </w:tcMar>
          </w:tcPr>
          <w:p>
            <w:pPr>
              <w:spacing w:after="0" w:before="0"/>
            </w:pPr>
            <w:r>
              <w:rPr>
                <w:rFonts w:ascii="Aptos" w:hAnsi="Aptos"/>
                <w:sz w:val="17"/>
              </w:rPr>
              <w:t>$0.53</w:t>
            </w:r>
          </w:p>
        </w:tc>
        <w:tc>
          <w:tcPr>
            <w:tcW w:type="dxa" w:w="2102"/>
            <w:vAlign w:val="center"/>
            <w:tcMar>
              <w:top w:w="60" w:type="dxa"/>
              <w:start w:w="80" w:type="dxa"/>
              <w:bottom w:w="60" w:type="dxa"/>
              <w:end w:w="80" w:type="dxa"/>
            </w:tcMar>
          </w:tcPr>
          <w:p>
            <w:pPr>
              <w:spacing w:after="0" w:before="0"/>
            </w:pPr>
            <w:r>
              <w:rPr>
                <w:rFonts w:ascii="Aptos" w:hAnsi="Aptos"/>
                <w:sz w:val="17"/>
              </w:rPr>
              <w:t>$0.63</w:t>
            </w:r>
          </w:p>
        </w:tc>
      </w:tr>
      <w:tr>
        <w:tc>
          <w:tcPr>
            <w:tcW w:type="dxa" w:w="2102"/>
            <w:vAlign w:val="center"/>
            <w:tcMar>
              <w:top w:w="60" w:type="dxa"/>
              <w:start w:w="80" w:type="dxa"/>
              <w:bottom w:w="60" w:type="dxa"/>
              <w:end w:w="80" w:type="dxa"/>
            </w:tcMar>
          </w:tcPr>
          <w:p>
            <w:pPr>
              <w:spacing w:after="0" w:before="0"/>
            </w:pPr>
            <w:r>
              <w:rPr>
                <w:rFonts w:ascii="Aptos" w:hAnsi="Aptos"/>
                <w:sz w:val="17"/>
              </w:rPr>
              <w:t>25%</w:t>
            </w:r>
          </w:p>
        </w:tc>
        <w:tc>
          <w:tcPr>
            <w:tcW w:type="dxa" w:w="2102"/>
            <w:vAlign w:val="center"/>
            <w:tcMar>
              <w:top w:w="60" w:type="dxa"/>
              <w:start w:w="80" w:type="dxa"/>
              <w:bottom w:w="60" w:type="dxa"/>
              <w:end w:w="80" w:type="dxa"/>
            </w:tcMar>
          </w:tcPr>
          <w:p>
            <w:pPr>
              <w:spacing w:after="0" w:before="0"/>
            </w:pPr>
            <w:r>
              <w:rPr>
                <w:rFonts w:ascii="Aptos" w:hAnsi="Aptos"/>
                <w:sz w:val="17"/>
              </w:rPr>
              <w:t>$0.35</w:t>
            </w:r>
          </w:p>
        </w:tc>
        <w:tc>
          <w:tcPr>
            <w:tcW w:type="dxa" w:w="2102"/>
            <w:vAlign w:val="center"/>
            <w:tcMar>
              <w:top w:w="60" w:type="dxa"/>
              <w:start w:w="80" w:type="dxa"/>
              <w:bottom w:w="60" w:type="dxa"/>
              <w:end w:w="80" w:type="dxa"/>
            </w:tcMar>
          </w:tcPr>
          <w:p>
            <w:pPr>
              <w:spacing w:after="0" w:before="0"/>
            </w:pPr>
            <w:r>
              <w:rPr>
                <w:rFonts w:ascii="Aptos" w:hAnsi="Aptos"/>
                <w:sz w:val="17"/>
              </w:rPr>
              <w:t>$0.43</w:t>
            </w:r>
          </w:p>
        </w:tc>
        <w:tc>
          <w:tcPr>
            <w:tcW w:type="dxa" w:w="2102"/>
            <w:vAlign w:val="center"/>
            <w:tcMar>
              <w:top w:w="60" w:type="dxa"/>
              <w:start w:w="80" w:type="dxa"/>
              <w:bottom w:w="60" w:type="dxa"/>
              <w:end w:w="80" w:type="dxa"/>
            </w:tcMar>
          </w:tcPr>
          <w:p>
            <w:pPr>
              <w:spacing w:after="0" w:before="0"/>
            </w:pPr>
            <w:r>
              <w:rPr>
                <w:rFonts w:ascii="Aptos" w:hAnsi="Aptos"/>
                <w:sz w:val="17"/>
              </w:rPr>
              <w:t>$0.47</w:t>
            </w:r>
          </w:p>
        </w:tc>
        <w:tc>
          <w:tcPr>
            <w:tcW w:type="dxa" w:w="2102"/>
            <w:vAlign w:val="center"/>
            <w:tcMar>
              <w:top w:w="60" w:type="dxa"/>
              <w:start w:w="80" w:type="dxa"/>
              <w:bottom w:w="60" w:type="dxa"/>
              <w:end w:w="80" w:type="dxa"/>
            </w:tcMar>
          </w:tcPr>
          <w:p>
            <w:pPr>
              <w:spacing w:after="0" w:before="0"/>
            </w:pPr>
            <w:r>
              <w:rPr>
                <w:rFonts w:ascii="Aptos" w:hAnsi="Aptos"/>
                <w:sz w:val="17"/>
              </w:rPr>
              <w:t>$0.55</w:t>
            </w:r>
          </w:p>
        </w:tc>
      </w:tr>
      <w:tr>
        <w:tc>
          <w:tcPr>
            <w:tcW w:type="dxa" w:w="2102"/>
            <w:vAlign w:val="center"/>
            <w:tcMar>
              <w:top w:w="60" w:type="dxa"/>
              <w:start w:w="80" w:type="dxa"/>
              <w:bottom w:w="60" w:type="dxa"/>
              <w:end w:w="80" w:type="dxa"/>
            </w:tcMar>
          </w:tcPr>
          <w:p>
            <w:pPr>
              <w:spacing w:after="0" w:before="0"/>
            </w:pPr>
            <w:r>
              <w:rPr>
                <w:rFonts w:ascii="Aptos" w:hAnsi="Aptos"/>
                <w:sz w:val="17"/>
              </w:rPr>
              <w:t>30%</w:t>
            </w:r>
          </w:p>
        </w:tc>
        <w:tc>
          <w:tcPr>
            <w:tcW w:type="dxa" w:w="2102"/>
            <w:vAlign w:val="center"/>
            <w:tcMar>
              <w:top w:w="60" w:type="dxa"/>
              <w:start w:w="80" w:type="dxa"/>
              <w:bottom w:w="60" w:type="dxa"/>
              <w:end w:w="80" w:type="dxa"/>
            </w:tcMar>
          </w:tcPr>
          <w:p>
            <w:pPr>
              <w:spacing w:after="0" w:before="0"/>
            </w:pPr>
            <w:r>
              <w:rPr>
                <w:rFonts w:ascii="Aptos" w:hAnsi="Aptos"/>
                <w:sz w:val="17"/>
              </w:rPr>
              <w:t>$0.33</w:t>
            </w:r>
          </w:p>
        </w:tc>
        <w:tc>
          <w:tcPr>
            <w:tcW w:type="dxa" w:w="2102"/>
            <w:vAlign w:val="center"/>
            <w:tcMar>
              <w:top w:w="60" w:type="dxa"/>
              <w:start w:w="80" w:type="dxa"/>
              <w:bottom w:w="60" w:type="dxa"/>
              <w:end w:w="80" w:type="dxa"/>
            </w:tcMar>
          </w:tcPr>
          <w:p>
            <w:pPr>
              <w:spacing w:after="0" w:before="0"/>
            </w:pPr>
            <w:r>
              <w:rPr>
                <w:rFonts w:ascii="Aptos" w:hAnsi="Aptos"/>
                <w:sz w:val="17"/>
              </w:rPr>
              <w:t>$0.39</w:t>
            </w:r>
          </w:p>
        </w:tc>
        <w:tc>
          <w:tcPr>
            <w:tcW w:type="dxa" w:w="2102"/>
            <w:vAlign w:val="center"/>
            <w:tcMar>
              <w:top w:w="60" w:type="dxa"/>
              <w:start w:w="80" w:type="dxa"/>
              <w:bottom w:w="60" w:type="dxa"/>
              <w:end w:w="80" w:type="dxa"/>
            </w:tcMar>
          </w:tcPr>
          <w:p>
            <w:pPr>
              <w:spacing w:after="0" w:before="0"/>
            </w:pPr>
            <w:r>
              <w:rPr>
                <w:rFonts w:ascii="Aptos" w:hAnsi="Aptos"/>
                <w:sz w:val="17"/>
              </w:rPr>
              <w:t>$0.43</w:t>
            </w:r>
          </w:p>
        </w:tc>
        <w:tc>
          <w:tcPr>
            <w:tcW w:type="dxa" w:w="2102"/>
            <w:vAlign w:val="center"/>
            <w:tcMar>
              <w:top w:w="60" w:type="dxa"/>
              <w:start w:w="80" w:type="dxa"/>
              <w:bottom w:w="60" w:type="dxa"/>
              <w:end w:w="80" w:type="dxa"/>
            </w:tcMar>
          </w:tcPr>
          <w:p>
            <w:pPr>
              <w:spacing w:after="0" w:before="0"/>
            </w:pPr>
            <w:r>
              <w:rPr>
                <w:rFonts w:ascii="Aptos" w:hAnsi="Aptos"/>
                <w:sz w:val="17"/>
              </w:rPr>
              <w:t>$0.50</w:t>
            </w:r>
          </w:p>
        </w:tc>
      </w:tr>
      <w:tr>
        <w:tc>
          <w:tcPr>
            <w:tcW w:type="dxa" w:w="2102"/>
            <w:vAlign w:val="center"/>
            <w:tcMar>
              <w:top w:w="60" w:type="dxa"/>
              <w:start w:w="80" w:type="dxa"/>
              <w:bottom w:w="60" w:type="dxa"/>
              <w:end w:w="80" w:type="dxa"/>
            </w:tcMar>
          </w:tcPr>
          <w:p>
            <w:pPr>
              <w:spacing w:after="0" w:before="0"/>
            </w:pPr>
            <w:r>
              <w:rPr>
                <w:rFonts w:ascii="Aptos" w:hAnsi="Aptos"/>
                <w:sz w:val="17"/>
              </w:rPr>
              <w:t>40%</w:t>
            </w:r>
          </w:p>
        </w:tc>
        <w:tc>
          <w:tcPr>
            <w:tcW w:type="dxa" w:w="2102"/>
            <w:vAlign w:val="center"/>
            <w:tcMar>
              <w:top w:w="60" w:type="dxa"/>
              <w:start w:w="80" w:type="dxa"/>
              <w:bottom w:w="60" w:type="dxa"/>
              <w:end w:w="80" w:type="dxa"/>
            </w:tcMar>
          </w:tcPr>
          <w:p>
            <w:pPr>
              <w:spacing w:after="0" w:before="0"/>
            </w:pPr>
            <w:r>
              <w:rPr>
                <w:rFonts w:ascii="Aptos" w:hAnsi="Aptos"/>
                <w:sz w:val="17"/>
              </w:rPr>
              <w:t>$0.30</w:t>
            </w:r>
          </w:p>
        </w:tc>
        <w:tc>
          <w:tcPr>
            <w:tcW w:type="dxa" w:w="2102"/>
            <w:vAlign w:val="center"/>
            <w:tcMar>
              <w:top w:w="60" w:type="dxa"/>
              <w:start w:w="80" w:type="dxa"/>
              <w:bottom w:w="60" w:type="dxa"/>
              <w:end w:w="80" w:type="dxa"/>
            </w:tcMar>
          </w:tcPr>
          <w:p>
            <w:pPr>
              <w:spacing w:after="0" w:before="0"/>
            </w:pPr>
            <w:r>
              <w:rPr>
                <w:rFonts w:ascii="Aptos" w:hAnsi="Aptos"/>
                <w:sz w:val="17"/>
              </w:rPr>
              <w:t>$0.35</w:t>
            </w:r>
          </w:p>
        </w:tc>
        <w:tc>
          <w:tcPr>
            <w:tcW w:type="dxa" w:w="2102"/>
            <w:vAlign w:val="center"/>
            <w:tcMar>
              <w:top w:w="60" w:type="dxa"/>
              <w:start w:w="80" w:type="dxa"/>
              <w:bottom w:w="60" w:type="dxa"/>
              <w:end w:w="80" w:type="dxa"/>
            </w:tcMar>
          </w:tcPr>
          <w:p>
            <w:pPr>
              <w:spacing w:after="0" w:before="0"/>
            </w:pPr>
            <w:r>
              <w:rPr>
                <w:rFonts w:ascii="Aptos" w:hAnsi="Aptos"/>
                <w:sz w:val="17"/>
              </w:rPr>
              <w:t>$0.38</w:t>
            </w:r>
          </w:p>
        </w:tc>
        <w:tc>
          <w:tcPr>
            <w:tcW w:type="dxa" w:w="2102"/>
            <w:vAlign w:val="center"/>
            <w:tcMar>
              <w:top w:w="60" w:type="dxa"/>
              <w:start w:w="80" w:type="dxa"/>
              <w:bottom w:w="60" w:type="dxa"/>
              <w:end w:w="80" w:type="dxa"/>
            </w:tcMar>
          </w:tcPr>
          <w:p>
            <w:pPr>
              <w:spacing w:after="0" w:before="0"/>
            </w:pPr>
            <w:r>
              <w:rPr>
                <w:rFonts w:ascii="Aptos" w:hAnsi="Aptos"/>
                <w:sz w:val="17"/>
              </w:rPr>
              <w:t>$0.43</w:t>
            </w:r>
          </w:p>
        </w:tc>
      </w:tr>
      <w:tr>
        <w:tc>
          <w:tcPr>
            <w:tcW w:type="dxa" w:w="2102"/>
            <w:vAlign w:val="center"/>
            <w:tcMar>
              <w:top w:w="60" w:type="dxa"/>
              <w:start w:w="80" w:type="dxa"/>
              <w:bottom w:w="60" w:type="dxa"/>
              <w:end w:w="80" w:type="dxa"/>
            </w:tcMar>
          </w:tcPr>
          <w:p>
            <w:pPr>
              <w:spacing w:after="0" w:before="0"/>
            </w:pPr>
            <w:r>
              <w:rPr>
                <w:rFonts w:ascii="Aptos" w:hAnsi="Aptos"/>
                <w:sz w:val="17"/>
              </w:rPr>
              <w:t>50%</w:t>
            </w:r>
          </w:p>
        </w:tc>
        <w:tc>
          <w:tcPr>
            <w:tcW w:type="dxa" w:w="2102"/>
            <w:vAlign w:val="center"/>
            <w:tcMar>
              <w:top w:w="60" w:type="dxa"/>
              <w:start w:w="80" w:type="dxa"/>
              <w:bottom w:w="60" w:type="dxa"/>
              <w:end w:w="80" w:type="dxa"/>
            </w:tcMar>
          </w:tcPr>
          <w:p>
            <w:pPr>
              <w:spacing w:after="0" w:before="0"/>
            </w:pPr>
            <w:r>
              <w:rPr>
                <w:rFonts w:ascii="Aptos" w:hAnsi="Aptos"/>
                <w:sz w:val="17"/>
              </w:rPr>
              <w:t>$0.29</w:t>
            </w:r>
          </w:p>
        </w:tc>
        <w:tc>
          <w:tcPr>
            <w:tcW w:type="dxa" w:w="2102"/>
            <w:vAlign w:val="center"/>
            <w:tcMar>
              <w:top w:w="60" w:type="dxa"/>
              <w:start w:w="80" w:type="dxa"/>
              <w:bottom w:w="60" w:type="dxa"/>
              <w:end w:w="80" w:type="dxa"/>
            </w:tcMar>
          </w:tcPr>
          <w:p>
            <w:pPr>
              <w:spacing w:after="0" w:before="0"/>
            </w:pPr>
            <w:r>
              <w:rPr>
                <w:rFonts w:ascii="Aptos" w:hAnsi="Aptos"/>
                <w:sz w:val="17"/>
              </w:rPr>
              <w:t>$0.33</w:t>
            </w:r>
          </w:p>
        </w:tc>
        <w:tc>
          <w:tcPr>
            <w:tcW w:type="dxa" w:w="2102"/>
            <w:vAlign w:val="center"/>
            <w:tcMar>
              <w:top w:w="60" w:type="dxa"/>
              <w:start w:w="80" w:type="dxa"/>
              <w:bottom w:w="60" w:type="dxa"/>
              <w:end w:w="80" w:type="dxa"/>
            </w:tcMar>
          </w:tcPr>
          <w:p>
            <w:pPr>
              <w:spacing w:after="0" w:before="0"/>
            </w:pPr>
            <w:r>
              <w:rPr>
                <w:rFonts w:ascii="Aptos" w:hAnsi="Aptos"/>
                <w:sz w:val="17"/>
              </w:rPr>
              <w:t>$0.35</w:t>
            </w:r>
          </w:p>
        </w:tc>
        <w:tc>
          <w:tcPr>
            <w:tcW w:type="dxa" w:w="2102"/>
            <w:vAlign w:val="center"/>
            <w:tcMar>
              <w:top w:w="60" w:type="dxa"/>
              <w:start w:w="80" w:type="dxa"/>
              <w:bottom w:w="60" w:type="dxa"/>
              <w:end w:w="80" w:type="dxa"/>
            </w:tcMar>
          </w:tcPr>
          <w:p>
            <w:pPr>
              <w:spacing w:after="0" w:before="0"/>
            </w:pPr>
            <w:r>
              <w:rPr>
                <w:rFonts w:ascii="Aptos" w:hAnsi="Aptos"/>
                <w:sz w:val="17"/>
              </w:rPr>
              <w:t>$0.39</w:t>
            </w:r>
          </w:p>
        </w:tc>
      </w:tr>
    </w:tbl>
    <w:p>
      <w:r>
        <w:rPr>
          <w:b/>
        </w:rPr>
        <w:t xml:space="preserve">Interpretation. </w:t>
      </w:r>
      <w:r>
        <w:t>At equal installed cost, direct Dominion service is cheaper because there is no host revenue share. The hosted model is attractive when it materially reduces installation cost. For example, at 20% utilization a $3,000 hosted installation breaks even around $0.38/kWh, compared with about $0.43/kWh for a $7,500 direct-service installation.</w:t>
      </w:r>
    </w:p>
    <w:p>
      <w:pPr>
        <w:pStyle w:val="Heading1"/>
      </w:pPr>
      <w:r>
        <w:t>6. Utilization is the critical commercial variable</w:t>
      </w:r>
    </w:p>
    <w:p>
      <w:r>
        <w:t>The economics are highly nonlinear at low utilization because fixed costs are spread over very little energy. At 5% utilization, even a $3,000 direct-service installation requires about $0.86/kWh. Between 15% and 30% utilization, however, break-even cost falls rapidly.</w:t>
      </w:r>
    </w:p>
    <w:p>
      <w:r>
        <w:t>New York City's early curbside Level 2 pilot provides a useful real-world benchmark. Overall plug-in utilization reached 34% in December 2022; the ten busiest sites exceeded 54%, while the ten least-busy sites were below 22%. NYC reported in 2026 that its remaining curbside network was occupied by an EV more than 70% of the time. Alexandria should not assume New York utilization, but the data show that 20% to 30% utilization is plausible for well-selected urban curbside sites.</w:t>
      </w:r>
    </w:p>
    <w:p>
      <w:pPr>
        <w:pStyle w:val="Heading1"/>
      </w:pPr>
      <w:r>
        <w:t>7. Policy implications for Alexandria</w:t>
      </w:r>
    </w:p>
    <w:p>
      <w:pPr>
        <w:ind w:left="259" w:hanging="173"/>
      </w:pPr>
      <w:r>
        <w:rPr>
          <w:b/>
        </w:rPr>
        <w:t xml:space="preserve">• </w:t>
      </w:r>
      <w:r>
        <w:t>Site selection matters more than modest permit-fee changes. At 20% utilization, moving from a $15,000 installation to $7,500 lowers break-even price by roughly 16¢/kWh, while a small one-time permit fee would have a much smaller effect.</w:t>
      </w:r>
    </w:p>
    <w:p>
      <w:pPr>
        <w:ind w:left="259" w:hanging="173"/>
      </w:pPr>
      <w:r>
        <w:rPr>
          <w:b/>
        </w:rPr>
        <w:t xml:space="preserve">• </w:t>
      </w:r>
      <w:r>
        <w:t>Make-ready risk should be treated as a core program-design issue. Building-powered installations can trade a higher variable electricity cost for much lower interconnection and construction cost.</w:t>
      </w:r>
    </w:p>
    <w:p>
      <w:pPr>
        <w:ind w:left="259" w:hanging="173"/>
      </w:pPr>
      <w:r>
        <w:rPr>
          <w:b/>
        </w:rPr>
        <w:t xml:space="preserve">• </w:t>
      </w:r>
      <w:r>
        <w:t>A five-year license creates real capital-recovery pressure. Longer successor terms, predictable renewals, or lower removal risk would reduce the annual revenue required to recover installation cost.</w:t>
      </w:r>
    </w:p>
    <w:p>
      <w:pPr>
        <w:ind w:left="259" w:hanging="173"/>
      </w:pPr>
      <w:r>
        <w:rPr>
          <w:b/>
        </w:rPr>
        <w:t xml:space="preserve">• </w:t>
      </w:r>
      <w:r>
        <w:t>The insurance package is material but should be evaluated at the operator-fleet level. Requiring each charger to economically bear a full stand-alone policy premium would overstate actual commercial cost for a scaled operator.</w:t>
      </w:r>
    </w:p>
    <w:p>
      <w:pPr>
        <w:ind w:left="259" w:hanging="173"/>
      </w:pPr>
      <w:r>
        <w:rPr>
          <w:b/>
        </w:rPr>
        <w:t xml:space="preserve">• </w:t>
      </w:r>
      <w:r>
        <w:t>The most useful performance data for Alexandria's first two years will be utilization, delivered kWh, uptime, installation cost, maintenance incidents, and operator-reported cost categories. Those data can replace several of the assumptions in this analysis before the City evaluates program expansion.</w:t>
      </w:r>
    </w:p>
    <w:p>
      <w:pPr>
        <w:pStyle w:val="Heading1"/>
      </w:pPr>
      <w:r>
        <w:t>Conclusion</w:t>
      </w:r>
    </w:p>
    <w:p>
      <w:r>
        <w:t>For a small Alexandria curbside Level 2 charger, electricity itself is likely to cost the operator on the order of 16¢ per delivered kWh, with a reference annual electricity bill of about $2,200 per charger at 20% utilization. That establishes a meaningful floor beneath retail charging prices. Above that floor, commercial viability is primarily a function of installation cost, fixed operating overhead, and utilization.</w:t>
      </w:r>
    </w:p>
    <w:p>
      <w:r>
        <w:t>Under the central $7,500 installed-cost case, retail pricing in the mid-30s to low-40s cents per kWh becomes viable around 20% to 30% utilization. Under a true best-case $3,000 installation, the same price range becomes viable closer to 15% to 20% utilization. The evidence therefore supports a program strategy centered on low-cost make-ready and high-quality site selection rather than assuming that charger hardware or electricity alone will determine commercial success.</w:t>
      </w:r>
    </w:p>
    <w:p>
      <w:pPr>
        <w:pStyle w:val="Heading1"/>
      </w:pPr>
      <w:r>
        <w:t>References</w:t>
      </w:r>
    </w:p>
    <w:p>
      <w:pPr>
        <w:spacing w:after="40"/>
        <w:ind w:left="317" w:hanging="317"/>
      </w:pPr>
      <w:r>
        <w:rPr>
          <w:sz w:val="17"/>
        </w:rPr>
        <w:t>1. City of Alexandria. Electric Vehicles in Alexandria. Updated April 15, 2026. https://www.alexandriava.gov/energy/electric-vehicles-in-alexandria</w:t>
      </w:r>
    </w:p>
    <w:p>
      <w:pPr>
        <w:spacing w:after="40"/>
        <w:ind w:left="317" w:hanging="317"/>
      </w:pPr>
      <w:r>
        <w:rPr>
          <w:sz w:val="17"/>
        </w:rPr>
        <w:t>2. City of Alexandria. Curbside EV Charging License Agreement and Program Requirements. February 2026. https://www.alexandriava.gov/sites/default/files/2026-02/EV%20Curbside%20Charging%20License%20Agreement.pdf</w:t>
      </w:r>
    </w:p>
    <w:p>
      <w:pPr>
        <w:spacing w:after="40"/>
        <w:ind w:left="317" w:hanging="317"/>
      </w:pPr>
      <w:r>
        <w:rPr>
          <w:sz w:val="17"/>
        </w:rPr>
        <w:t>3. Dominion Energy Virginia. Schedule GS-1, Small General Service. Effective for usage on and after January 1, 2026. https://www.dominionenergy.com/-/media/content/rates-and-tariffs/pdfs/virginia/large-business/schedule-gs1.pdf</w:t>
      </w:r>
    </w:p>
    <w:p>
      <w:pPr>
        <w:spacing w:after="40"/>
        <w:ind w:left="317" w:hanging="317"/>
      </w:pPr>
      <w:r>
        <w:rPr>
          <w:sz w:val="17"/>
        </w:rPr>
        <w:t>4. Dominion Energy Virginia. Exhibit of Applicable Riders. Effective May 1, 2026. https://www.dominionenergy.com/-/media/content/rates-and-tariffs/pdfs/virginia/shared/exhibit-of-applicable-riders.pdf</w:t>
      </w:r>
    </w:p>
    <w:p>
      <w:pPr>
        <w:spacing w:after="40"/>
        <w:ind w:left="317" w:hanging="317"/>
      </w:pPr>
      <w:r>
        <w:rPr>
          <w:sz w:val="17"/>
        </w:rPr>
        <w:t>5. U.S. Department of Energy, Alternative Fuels Data Center. Operation and Maintenance for Electric Vehicle Charging Infrastructure. https://afdc.energy.gov/fuels/electricity-infrastructure-maintenance-and-operation</w:t>
      </w:r>
    </w:p>
    <w:p>
      <w:pPr>
        <w:spacing w:after="40"/>
        <w:ind w:left="317" w:hanging="317"/>
      </w:pPr>
      <w:r>
        <w:rPr>
          <w:sz w:val="17"/>
        </w:rPr>
        <w:t>6. it's electric. For Buildings. Published specifications and property-host revenue share. https://itselectric.us/for-buildings</w:t>
      </w:r>
    </w:p>
    <w:p>
      <w:pPr>
        <w:spacing w:after="40"/>
        <w:ind w:left="317" w:hanging="317"/>
      </w:pPr>
      <w:r>
        <w:rPr>
          <w:sz w:val="17"/>
        </w:rPr>
        <w:t>7. New York City Department of Transportation. Curbside Level 2 EV Charging Pilot: Evaluation Report. 2023. https://www.nyc.gov/html/dot/downloads/pdf/curbside-level-2-charging-pilot-evaluation-report.pdf</w:t>
      </w:r>
    </w:p>
    <w:p>
      <w:pPr>
        <w:spacing w:after="40"/>
        <w:ind w:left="317" w:hanging="317"/>
      </w:pPr>
      <w:r>
        <w:rPr>
          <w:sz w:val="17"/>
        </w:rPr>
        <w:t>8. New York City Department of Transportation. Expansion of Curbside Electric Vehicle Charging Across Five Boroughs. August 2026. https://www.nyc.gov/html/dot/html/pr2026/expansion-of-curbside-electric-vehicle-charging.shtml</w:t>
      </w:r>
    </w:p>
    <w:p/>
    <w:p>
      <w:r>
        <w:rPr>
          <w:i/>
          <w:color w:val="505050"/>
          <w:sz w:val="17"/>
        </w:rPr>
        <w:t>Important modeling note: The 14.0¢/metered-kWh Dominion input is a rounded analytical assumption derived from the GS-1 tariff structure and current riders. It is not a quoted flat Dominion rate. Actual bills will vary by billing month, usage block, applicable riders, taxes, service configuration, and future tariff changes.</w:t>
      </w:r>
    </w:p>
    <w:sectPr w:rsidR="00FC693F" w:rsidRPr="0006063C" w:rsidSect="00034616">
      <w:footerReference w:type="default" r:id="rId9"/>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E6E6E"/>
        <w:sz w:val="16"/>
      </w:rPr>
      <w:t>Alexandria ROW L2 Charging Break-Even Analysis | Working paper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ubtitle2">
    <w:name w:val="Subtitle2"/>
    <w:rPr>
      <w:rFonts w:ascii="Aptos" w:hAnsi="Aptos"/>
      <w:i/>
      <w:color w:val="464646"/>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