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Residential Curbside EV Charging in Alexandria</w:t>
      </w:r>
    </w:p>
    <w:p>
      <w:pPr>
        <w:jc w:val="center"/>
      </w:pPr>
      <w:r>
        <w:rPr>
          <w:b/>
          <w:sz w:val="24"/>
        </w:rPr>
        <w:t>Existing Legal Authority, Low-Burden Implementation, Interim Access, and a Path to Permanent Infrastructure</w:t>
      </w:r>
    </w:p>
    <w:p>
      <w:pPr>
        <w:jc w:val="center"/>
      </w:pPr>
      <w:r>
        <w:rPr>
          <w:i/>
          <w:sz w:val="19"/>
        </w:rPr>
        <w:t>Legal-policy working brief | September 2026</w:t>
      </w:r>
    </w:p>
    <w:p>
      <w:pPr>
        <w:jc w:val="center"/>
      </w:pPr>
      <w:r>
        <w:rPr>
          <w:i/>
          <w:sz w:val="18"/>
        </w:rPr>
        <w:t>This is a policy and legal-research synthesis, not legal advice.</w:t>
      </w:r>
    </w:p>
    <w:p/>
    <w:p>
      <w:pPr>
        <w:pStyle w:val="Heading1"/>
      </w:pPr>
      <w:r>
        <w:t>Executive Summary</w:t>
      </w:r>
    </w:p>
    <w:p>
      <w:pPr>
        <w:spacing w:after="80" w:line="252" w:lineRule="auto"/>
      </w:pPr>
      <w:r>
        <w:rPr>
          <w:i w:val="0"/>
        </w:rPr>
        <w:t>Alexandria does not need to recognize an unrestricted private right to place charging equipment in the public sidewalk in order to solve residential EV charging access. Virginia law and Alexandria's own Code give the City broad authority to regulate the public right-of-way, but also broad authority to authorize encroachments subject to conditions. The central policy question is therefore not whether the City must tolerate uncontrolled private use of sidewalks. It is what safe, accessible, revocable framework Alexandria should use for residents who lack off-street parking.</w:t>
      </w:r>
    </w:p>
    <w:p>
      <w:pPr>
        <w:spacing w:after="80" w:line="252" w:lineRule="auto"/>
      </w:pPr>
      <w:r>
        <w:rPr>
          <w:i w:val="0"/>
        </w:rPr>
        <w:t>The strongest combined approach is a ladder of increasingly permanent solutions rather than a single all-or-nothing rule. Safe removable cable protectors should remain an available near-term option where site conditions support them. Alexandria's 2026 EV charging amendment creates a separate immediate pathway for homeowner-funded equipment that is genuinely publicly accessible, even though the current T&amp;ES license is designed around commercial vendors. Flush or recessed sidewalk crossings should be the preferred physical end state.</w:t>
      </w:r>
    </w:p>
    <w:p>
      <w:pPr>
        <w:spacing w:after="80" w:line="252" w:lineRule="auto"/>
      </w:pPr>
      <w:r>
        <w:rPr>
          <w:i w:val="0"/>
        </w:rPr>
        <w:t>The lowest-resistance pathway, however, may be even simpler than a permit program: a City service request for a standardized flush crossing. A resident would ask the City to install an approved recessed channel or similar crossing, much as a resident requests other City-managed right-of-way work. T&amp;ES would confirm eligibility and site feasibility, use a standard detail and approved contractor, and either charge the resident a fixed fee or apply any available subsidy. The resident would not need to become a right-of-way permit applicant, manage excavation bonds, coordinate multiple inspections, or hire a contractor for a tiny public-sidewalk job. This model directly attacks the administrative time tax while producing the best physical outcome.</w:t>
      </w:r>
    </w:p>
    <w:p>
      <w:pPr>
        <w:spacing w:after="80" w:line="252" w:lineRule="auto"/>
      </w:pPr>
      <w:r>
        <w:rPr>
          <w:i w:val="0"/>
        </w:rPr>
        <w:t>These routes should proceed in parallel. Climate and vehicle-purchase decisions do not wait for a perfect permanent design. Alexandria can allow safe temporary crossings now, test a residential public-access license using authority Council has already granted, and build a low-friction City service for standardized flush crossings. Policy can be in motion while infrastructure improves.</w:t>
      </w:r>
    </w:p>
    <w:p>
      <w:pPr>
        <w:pStyle w:val="Heading1"/>
      </w:pPr>
      <w:r>
        <w:t>1. The Legal Issue Is Authorization, Not a Claimed Right to the Sidewalk</w:t>
      </w:r>
    </w:p>
    <w:p>
      <w:pPr>
        <w:spacing w:after="80" w:line="252" w:lineRule="auto"/>
      </w:pPr>
      <w:r>
        <w:rPr>
          <w:i w:val="0"/>
        </w:rPr>
        <w:t>The formal legal memorandum correctly identifies Alexandria's strongest legal position: the City has substantial authority to regulate sidewalks and other public rights-of-way. Sections 5-2-16 and 5-2-29 give the City meaningful tools to address obstruction, access, safety, nuisance, public hazard, design, insurance, and removal. A resident therefore has a stronger case asking the City to authorize a controlled use than asserting a unilateral entitlement to occupy the sidewalk.</w:t>
      </w:r>
    </w:p>
    <w:p>
      <w:pPr>
        <w:spacing w:after="80" w:line="252" w:lineRule="auto"/>
      </w:pPr>
      <w:r>
        <w:rPr>
          <w:i w:val="0"/>
        </w:rPr>
        <w:t>That does not resolve the issue against residential charging. Virginia Code section 15.2-2009 authorizes localities both to prevent unlawful encroachments and to authorize encroachments subject to terms and conditions prescribed by the governing body. Alexandria's regulatory authority is therefore the source of both the restriction and the solution.</w:t>
      </w:r>
    </w:p>
    <w:p>
      <w:pPr>
        <w:spacing w:after="80" w:line="252" w:lineRule="auto"/>
      </w:pPr>
      <w:r>
        <w:rPr>
          <w:i w:val="0"/>
        </w:rPr>
        <w:t>The best legal-policy framing is simple: Alexandria may regulate residential charging crossings, and Alexandria may permit them. The practical question is what conditions make a crossing safe, accessible, manageable, and fair.</w:t>
      </w:r>
    </w:p>
    <w:p>
      <w:pPr>
        <w:pStyle w:val="Heading1"/>
      </w:pPr>
      <w:r>
        <w:t>2. Protected Cable Ramps Remain a Legitimate Near-Term Tool</w:t>
      </w:r>
    </w:p>
    <w:p>
      <w:pPr>
        <w:spacing w:after="80" w:line="252" w:lineRule="auto"/>
      </w:pPr>
      <w:r>
        <w:rPr>
          <w:i w:val="0"/>
        </w:rPr>
        <w:t>The conservative legal memorandum ranks a recurring surface crossing below permanent infrastructure because an unpermitted surface condition is more exposed to Alexandria's obstruction language. That is sensible applicant-side risk advice. It should not be converted into a conclusion that a protected crossing is inherently unsafe or inappropriate public policy.</w:t>
      </w:r>
    </w:p>
    <w:p>
      <w:pPr>
        <w:spacing w:after="80" w:line="252" w:lineRule="auto"/>
      </w:pPr>
      <w:r>
        <w:rPr>
          <w:i w:val="0"/>
        </w:rPr>
        <w:t>Peer-city practice points the other way. Fredericksburg, Virginia now operates a residential curbside charging pilot for eligible homes without off-street parking and permits Level 1 and Level 2 charging across the public sidewalk under an approved full-width protector and revocable permit. Portland, Seattle, Oakland, Cambridge, and other jurisdictions have also created controlled pathways for residential sidewalk crossings or similar protected charging arrangements. Those programs use conditions such as visible and stable cable protection, limits on change in level, removal when not charging, no reserved parking, weather restrictions, and City revocation authority.</w:t>
      </w:r>
    </w:p>
    <w:p>
      <w:pPr>
        <w:spacing w:after="80" w:line="252" w:lineRule="auto"/>
      </w:pPr>
      <w:r>
        <w:rPr>
          <w:i w:val="0"/>
        </w:rPr>
        <w:t>The important conclusion is modest: a removable protector is not categorically incompatible with safe sidewalk management. It is a condition to be engineered and regulated. Alexandria can adopt performance-based standards and an approved-product list while preserving the ability to reject unsuitable sites.</w:t>
      </w:r>
    </w:p>
    <w:p>
      <w:pPr>
        <w:spacing w:after="80" w:line="252" w:lineRule="auto"/>
      </w:pPr>
      <w:r>
        <w:rPr>
          <w:i w:val="0"/>
        </w:rPr>
        <w:t>Alexandria Code section 5-2-13 is also useful by analogy. It allows certain temporary sidewalk crossings when the sidewalk, pedestrians, and traffic are properly protected and the permittee holds the City harmless. The section was not written for recurring EV charging and should not be treated as direct authorization. But it shows that Alexandria's own Code already recognizes the principle that temporary sidewalk intrusions can be acceptable when protections are adequate.</w:t>
      </w:r>
    </w:p>
    <w:p>
      <w:pPr>
        <w:pStyle w:val="Heading1"/>
      </w:pPr>
      <w:r>
        <w:t>3. Flush Crossings Are the Preferred Physical End State</w:t>
      </w:r>
    </w:p>
    <w:p>
      <w:pPr>
        <w:spacing w:after="80" w:line="252" w:lineRule="auto"/>
      </w:pPr>
      <w:r>
        <w:rPr>
          <w:i w:val="0"/>
        </w:rPr>
        <w:t>Acknowledging the viability of cable protectors does not require treating them as the ideal permanent design. A recessed cable channel, gully, conduit, or comparable flush crossing is better for pedestrians, wheelchair users, people using walkers or canes, and the charging household because it substantially eliminates the recurring change in walking-surface elevation.</w:t>
      </w:r>
    </w:p>
    <w:p>
      <w:pPr>
        <w:spacing w:after="80" w:line="252" w:lineRule="auto"/>
      </w:pPr>
      <w:r>
        <w:rPr>
          <w:i w:val="0"/>
        </w:rPr>
        <w:t>The companion engineering analysis estimates approximately $1,250 to $2,250 for a straightforward short residential channel in ordinary concrete sidewalk, excluding the EVSE itself, with about $1,750 as a reasonable planning value. The estimate is not a contractor quote, but it suggests that the physical work is small enough to standardize. The cost is likely driven more by mobilization, permitting, restoration, and administration than by the amount of concrete removed.</w:t>
      </w:r>
    </w:p>
    <w:p>
      <w:pPr>
        <w:spacing w:after="80" w:line="252" w:lineRule="auto"/>
      </w:pPr>
      <w:r>
        <w:rPr>
          <w:i w:val="0"/>
        </w:rPr>
        <w:t>That observation matters because the institutional design can dominate the cost. A three- or four-foot saw cut should not require a household to navigate the administrative machinery built for utility trenches and major street excavation if the City can safely provide a standard residential service.</w:t>
      </w:r>
    </w:p>
    <w:p>
      <w:pPr>
        <w:pStyle w:val="Heading1"/>
      </w:pPr>
      <w:r>
        <w:t>4. The Lowest-Resistance Path May Be a City Service Request, Not a Permit</w:t>
      </w:r>
    </w:p>
    <w:p>
      <w:pPr>
        <w:spacing w:after="80" w:line="252" w:lineRule="auto"/>
      </w:pPr>
      <w:r>
        <w:rPr>
          <w:i w:val="0"/>
        </w:rPr>
        <w:t>The most user-centered permanent pathway may be a simple municipal service: "make trench drain" or, more precisely, "install approved residential EV sidewalk crossing." The resident would not seek permission to perform work in the right-of-way. Instead, the resident would ask the City to perform or procure a standardized right-of-way improvement.</w:t>
      </w:r>
    </w:p>
    <w:p>
      <w:pPr>
        <w:spacing w:after="80" w:line="252" w:lineRule="auto"/>
      </w:pPr>
      <w:r>
        <w:rPr>
          <w:i w:val="0"/>
        </w:rPr>
        <w:t>A practical model would work as follows. The resident submits a short service request showing that the property lacks practical off-street charging and identifying the intended curbside location. T&amp;ES screens the site for utilities, drainage, tree roots, historic materials, sidewalk geometry, parking conditions, and accessibility. If eligible, the City issues a fixed-price work order to an approved contractor using a standard detail. The City manages utility marking, inspection, restoration, and acceptance. The resident pays a published fee, receives a subsidy where policy allows, or pays on a sliding scale.</w:t>
      </w:r>
    </w:p>
    <w:p>
      <w:pPr>
        <w:spacing w:after="80" w:line="252" w:lineRule="auto"/>
      </w:pPr>
      <w:r>
        <w:rPr>
          <w:i w:val="0"/>
        </w:rPr>
        <w:t>This approach has several advantages. It minimizes the household's administrative time tax, avoids making residents act as small public-works contractors, gives the City direct control over materials and workmanship, allows batch procurement and economies of scale, and produces a consistent asset that the City already knows how to inspect and maintain.</w:t>
      </w:r>
    </w:p>
    <w:p>
      <w:pPr>
        <w:spacing w:after="80" w:line="252" w:lineRule="auto"/>
      </w:pPr>
      <w:r>
        <w:rPr>
          <w:i w:val="0"/>
        </w:rPr>
        <w:t>It also solves a problem revealed by the preliminary cost analysis: mobilization and administrative overhead may dominate the physical job. A City-managed batch program can install multiple crossings more efficiently than one-off resident-led excavation permits.</w:t>
      </w:r>
    </w:p>
    <w:p>
      <w:pPr>
        <w:spacing w:after="80" w:line="252" w:lineRule="auto"/>
      </w:pPr>
      <w:r>
        <w:rPr>
          <w:i w:val="0"/>
        </w:rPr>
        <w:t>The legal details of ownership, maintenance responsibility, reimbursement, and use of public funds would need City Attorney and budget review. But as a policy architecture, a service-request model is likely less burdensome than a permit program and more consistent with the objective of treating residential charging access as ordinary urban infrastructure.</w:t>
      </w:r>
    </w:p>
    <w:p>
      <w:pPr>
        <w:pStyle w:val="Heading1"/>
      </w:pPr>
      <w:r>
        <w:t>5. Ordinance No. 5619 Creates a Separate Immediate Administrative Opportunity</w:t>
      </w:r>
    </w:p>
    <w:p>
      <w:pPr>
        <w:spacing w:after="80" w:line="252" w:lineRule="auto"/>
      </w:pPr>
      <w:r>
        <w:rPr>
          <w:i w:val="0"/>
        </w:rPr>
        <w:t>Alexandria's 2026 amendment to section 5-2-29 is especially important because Council already authorized publicly accessible EV charging equipment as a category of right-of-way encroachment. The ordinance, as reviewed, is framed around the public accessibility of the equipment rather than the commercial status of the owner.</w:t>
      </w:r>
    </w:p>
    <w:p>
      <w:pPr>
        <w:spacing w:after="80" w:line="252" w:lineRule="auto"/>
      </w:pPr>
      <w:r>
        <w:rPr>
          <w:i w:val="0"/>
        </w:rPr>
        <w:t>The City's current implementation is narrower. T&amp;ES created a commercial-vendor license structure under which qualified vendors design, install, own, operate, maintain, repair, and remove equipment. Requirements such as multi-port deployment and commercial insurance make sense for that program, but those implementation choices should be distinguished from the broader ordinance text.</w:t>
      </w:r>
    </w:p>
    <w:p>
      <w:pPr>
        <w:spacing w:after="80" w:line="252" w:lineRule="auto"/>
      </w:pPr>
      <w:r>
        <w:rPr>
          <w:i w:val="0"/>
        </w:rPr>
        <w:t>This creates a potentially immediate administrative bridge: a Residential Public-Access EV Charging License. A homeowner could fund and maintain approved charging equipment connected to the home's electrical service. The adjacent parking space would remain public and would not be reserved to the homeowner. Any member of the public who lawfully parks there with an EV could use the equipment on nondiscriminatory terms.</w:t>
      </w:r>
    </w:p>
    <w:p>
      <w:pPr>
        <w:spacing w:after="80" w:line="252" w:lineRule="auto"/>
      </w:pPr>
      <w:r>
        <w:rPr>
          <w:i w:val="0"/>
        </w:rPr>
        <w:t>The cleanest pilot may be free public charging, because it avoids unnecessary billing complexity. Cost-recovery charging could also be explored if legally and technically appropriate. Either way, the core question for the City Attorney and T&amp;ES is whether T&amp;ES may issue a second, less burdensome license class under authority Council has already granted.</w:t>
      </w:r>
    </w:p>
    <w:p>
      <w:pPr>
        <w:spacing w:after="80" w:line="252" w:lineRule="auto"/>
      </w:pPr>
      <w:r>
        <w:rPr>
          <w:i w:val="0"/>
        </w:rPr>
        <w:t>This is not the preferred long-term residential policy. Requiring a homeowner to become a miniature public charging provider is unnecessarily complicated and can create inequities. Its value is as an immediate bridge, a proof of concept, and a test of whether the actual constraint lies in law or merely in the current license design.</w:t>
      </w:r>
    </w:p>
    <w:p>
      <w:pPr>
        <w:pStyle w:val="Heading1"/>
      </w:pPr>
      <w:r>
        <w:t>6. Residential Access Should Not Be Replaced by Public Charging</w:t>
      </w:r>
    </w:p>
    <w:p>
      <w:pPr>
        <w:spacing w:after="80" w:line="252" w:lineRule="auto"/>
      </w:pPr>
      <w:r>
        <w:rPr>
          <w:i w:val="0"/>
        </w:rPr>
        <w:t>Alexandria's vendor-run curbside charging program solves a real need, but public charging is not economically or operationally equivalent to residential electricity. The companion research finds that households without home access pay more for electricity and lose substantial time reaching, waiting for, and returning from public charging.</w:t>
      </w:r>
    </w:p>
    <w:p>
      <w:pPr>
        <w:spacing w:after="80" w:line="252" w:lineRule="auto"/>
      </w:pPr>
      <w:r>
        <w:rPr>
          <w:i w:val="0"/>
        </w:rPr>
        <w:t>The revised charging models estimate roughly 67 to 78 hours per year of nonproductive public-charging access time under favorable scenarios. The household-specific field test developed separately for CurbsideALX found an even larger real-world burden when a weekly fast-charging trip replaces home charging. The precise number varies by household, but the policy principle is stable: charging where the car already parks is fundamentally different from making charging a recurring trip.</w:t>
      </w:r>
    </w:p>
    <w:p>
      <w:pPr>
        <w:spacing w:after="80" w:line="252" w:lineRule="auto"/>
      </w:pPr>
      <w:r>
        <w:rPr>
          <w:i w:val="0"/>
        </w:rPr>
        <w:t>Residential right-of-way charging also reduces pressure on shared public infrastructure. A household that can charge from its own service no longer needs routine energy from a scarce public port. That is why residential access should be treated as a distinct component of the City's charging strategy rather than merely as a customer segment for public chargers.</w:t>
      </w:r>
    </w:p>
    <w:p>
      <w:pPr>
        <w:pStyle w:val="Heading1"/>
      </w:pPr>
      <w:r>
        <w:t>7. Climate Urgency Supports Sequencing Instead of Waiting</w:t>
      </w:r>
    </w:p>
    <w:p>
      <w:pPr>
        <w:spacing w:after="80" w:line="252" w:lineRule="auto"/>
      </w:pPr>
      <w:r>
        <w:rPr>
          <w:i w:val="0"/>
        </w:rPr>
        <w:t>Permanent flush infrastructure is preferable, but climate policy cannot be structured around waiting for the preferred physical standard before allowing any access. Vehicle-purchase decisions made during the waiting period can lock households into gasoline vehicles for many years. Existing EV owners also bear immediate financial and time costs when residential charging is unavailable.</w:t>
      </w:r>
    </w:p>
    <w:p>
      <w:pPr>
        <w:spacing w:after="80" w:line="252" w:lineRule="auto"/>
      </w:pPr>
      <w:r>
        <w:rPr>
          <w:i w:val="0"/>
        </w:rPr>
        <w:t>The Cost of Waiting analysis treats those effects separately. One is the present charging-access burden. The other is vehicle lock-in when the absence of practical home charging changes a household's next vehicle purchase. The paper's scenario analysis is not a forecast, but it demonstrates why a year of policy delay can have effects that persist long after the policy itself is fixed.</w:t>
      </w:r>
    </w:p>
    <w:p>
      <w:pPr>
        <w:spacing w:after="80" w:line="252" w:lineRule="auto"/>
      </w:pPr>
      <w:r>
        <w:rPr>
          <w:i w:val="0"/>
        </w:rPr>
        <w:t>The appropriate policy standard is therefore not "wait until the permanent infrastructure program is complete." It is "allow what can be made safe now, while moving systematically toward a better standard." Policy can be in motion.</w:t>
      </w:r>
    </w:p>
    <w:p>
      <w:pPr>
        <w:pStyle w:val="Heading1"/>
      </w:pPr>
      <w:r>
        <w:t>8. Recommended Pathways</w:t>
      </w:r>
    </w:p>
    <w:tbl>
      <w:tblPr>
        <w:tblStyle w:val="TableGrid"/>
        <w:tblW w:type="auto" w:w="0"/>
        <w:jc w:val="center"/>
        <w:tblLook w:firstColumn="1" w:firstRow="1" w:lastColumn="0" w:lastRow="0" w:noHBand="0" w:noVBand="1" w:val="04A0"/>
      </w:tblPr>
      <w:tblGrid>
        <w:gridCol w:w="1987"/>
        <w:gridCol w:w="1987"/>
        <w:gridCol w:w="1987"/>
        <w:gridCol w:w="1987"/>
        <w:gridCol w:w="1987"/>
      </w:tblGrid>
      <w:tr>
        <w:tc>
          <w:tcPr>
            <w:tcW w:type="dxa" w:w="1987"/>
            <w:shd w:fill="D9EAD3"/>
            <w:vAlign w:val="center"/>
          </w:tcPr>
          <w:p>
            <w:pPr>
              <w:spacing w:after="0"/>
            </w:pPr>
            <w:r/>
            <w:r>
              <w:rPr>
                <w:b/>
                <w:sz w:val="19"/>
              </w:rPr>
              <w:t>Pathway</w:t>
            </w:r>
          </w:p>
        </w:tc>
        <w:tc>
          <w:tcPr>
            <w:tcW w:type="dxa" w:w="1987"/>
            <w:shd w:fill="D9EAD3"/>
            <w:vAlign w:val="center"/>
          </w:tcPr>
          <w:p>
            <w:pPr>
              <w:spacing w:after="0"/>
            </w:pPr>
            <w:r/>
            <w:r>
              <w:rPr>
                <w:b/>
                <w:sz w:val="19"/>
              </w:rPr>
              <w:t>Speed</w:t>
            </w:r>
          </w:p>
        </w:tc>
        <w:tc>
          <w:tcPr>
            <w:tcW w:type="dxa" w:w="1987"/>
            <w:shd w:fill="D9EAD3"/>
            <w:vAlign w:val="center"/>
          </w:tcPr>
          <w:p>
            <w:pPr>
              <w:spacing w:after="0"/>
            </w:pPr>
            <w:r/>
            <w:r>
              <w:rPr>
                <w:b/>
                <w:sz w:val="19"/>
              </w:rPr>
              <w:t>Resident burden</w:t>
            </w:r>
          </w:p>
        </w:tc>
        <w:tc>
          <w:tcPr>
            <w:tcW w:type="dxa" w:w="1987"/>
            <w:shd w:fill="D9EAD3"/>
            <w:vAlign w:val="center"/>
          </w:tcPr>
          <w:p>
            <w:pPr>
              <w:spacing w:after="0"/>
            </w:pPr>
            <w:r/>
            <w:r>
              <w:rPr>
                <w:b/>
                <w:sz w:val="19"/>
              </w:rPr>
              <w:t>Physical outcome</w:t>
            </w:r>
          </w:p>
        </w:tc>
        <w:tc>
          <w:tcPr>
            <w:tcW w:type="dxa" w:w="1987"/>
            <w:shd w:fill="D9EAD3"/>
            <w:vAlign w:val="center"/>
          </w:tcPr>
          <w:p>
            <w:pPr>
              <w:spacing w:after="0"/>
            </w:pPr>
            <w:r/>
            <w:r>
              <w:rPr>
                <w:b/>
                <w:sz w:val="19"/>
              </w:rPr>
              <w:t>Recommended role</w:t>
            </w:r>
          </w:p>
        </w:tc>
      </w:tr>
      <w:tr>
        <w:tc>
          <w:tcPr>
            <w:tcW w:type="dxa" w:w="1987"/>
            <w:vAlign w:val="top"/>
          </w:tcPr>
          <w:p>
            <w:pPr>
              <w:spacing w:after="0"/>
            </w:pPr>
            <w:r/>
            <w:r>
              <w:rPr>
                <w:b w:val="0"/>
                <w:sz w:val="19"/>
              </w:rPr>
              <w:t>Approved removable protector</w:t>
            </w:r>
          </w:p>
        </w:tc>
        <w:tc>
          <w:tcPr>
            <w:tcW w:type="dxa" w:w="1987"/>
            <w:vAlign w:val="top"/>
          </w:tcPr>
          <w:p>
            <w:pPr>
              <w:spacing w:after="0"/>
            </w:pPr>
            <w:r/>
            <w:r>
              <w:rPr>
                <w:b w:val="0"/>
                <w:sz w:val="19"/>
              </w:rPr>
              <w:t>Immediate</w:t>
            </w:r>
          </w:p>
        </w:tc>
        <w:tc>
          <w:tcPr>
            <w:tcW w:type="dxa" w:w="1987"/>
            <w:vAlign w:val="top"/>
          </w:tcPr>
          <w:p>
            <w:pPr>
              <w:spacing w:after="0"/>
            </w:pPr>
            <w:r/>
            <w:r>
              <w:rPr>
                <w:b w:val="0"/>
                <w:sz w:val="19"/>
              </w:rPr>
              <w:t>Low</w:t>
            </w:r>
          </w:p>
        </w:tc>
        <w:tc>
          <w:tcPr>
            <w:tcW w:type="dxa" w:w="1987"/>
            <w:vAlign w:val="top"/>
          </w:tcPr>
          <w:p>
            <w:pPr>
              <w:spacing w:after="0"/>
            </w:pPr>
            <w:r/>
            <w:r>
              <w:rPr>
                <w:b w:val="0"/>
                <w:sz w:val="19"/>
              </w:rPr>
              <w:t>Acceptable interim surface condition</w:t>
            </w:r>
          </w:p>
        </w:tc>
        <w:tc>
          <w:tcPr>
            <w:tcW w:type="dxa" w:w="1987"/>
            <w:vAlign w:val="top"/>
          </w:tcPr>
          <w:p>
            <w:pPr>
              <w:spacing w:after="0"/>
            </w:pPr>
            <w:r/>
            <w:r>
              <w:rPr>
                <w:b w:val="0"/>
                <w:sz w:val="19"/>
              </w:rPr>
              <w:t>Allow now where site conditions and standards are met</w:t>
            </w:r>
          </w:p>
        </w:tc>
      </w:tr>
      <w:tr>
        <w:tc>
          <w:tcPr>
            <w:tcW w:type="dxa" w:w="1987"/>
            <w:vAlign w:val="top"/>
          </w:tcPr>
          <w:p>
            <w:pPr>
              <w:spacing w:after="0"/>
            </w:pPr>
            <w:r/>
            <w:r>
              <w:rPr>
                <w:b w:val="0"/>
                <w:sz w:val="19"/>
              </w:rPr>
              <w:t>Residential public-access license</w:t>
            </w:r>
          </w:p>
        </w:tc>
        <w:tc>
          <w:tcPr>
            <w:tcW w:type="dxa" w:w="1987"/>
            <w:vAlign w:val="top"/>
          </w:tcPr>
          <w:p>
            <w:pPr>
              <w:spacing w:after="0"/>
            </w:pPr>
            <w:r/>
            <w:r>
              <w:rPr>
                <w:b w:val="0"/>
                <w:sz w:val="19"/>
              </w:rPr>
              <w:t>Potentially immediate</w:t>
            </w:r>
          </w:p>
        </w:tc>
        <w:tc>
          <w:tcPr>
            <w:tcW w:type="dxa" w:w="1987"/>
            <w:vAlign w:val="top"/>
          </w:tcPr>
          <w:p>
            <w:pPr>
              <w:spacing w:after="0"/>
            </w:pPr>
            <w:r/>
            <w:r>
              <w:rPr>
                <w:b w:val="0"/>
                <w:sz w:val="19"/>
              </w:rPr>
              <w:t>Moderate</w:t>
            </w:r>
          </w:p>
        </w:tc>
        <w:tc>
          <w:tcPr>
            <w:tcW w:type="dxa" w:w="1987"/>
            <w:vAlign w:val="top"/>
          </w:tcPr>
          <w:p>
            <w:pPr>
              <w:spacing w:after="0"/>
            </w:pPr>
            <w:r/>
            <w:r>
              <w:rPr>
                <w:b w:val="0"/>
                <w:sz w:val="19"/>
              </w:rPr>
              <w:t>Depends on configuration</w:t>
            </w:r>
          </w:p>
        </w:tc>
        <w:tc>
          <w:tcPr>
            <w:tcW w:type="dxa" w:w="1987"/>
            <w:vAlign w:val="top"/>
          </w:tcPr>
          <w:p>
            <w:pPr>
              <w:spacing w:after="0"/>
            </w:pPr>
            <w:r/>
            <w:r>
              <w:rPr>
                <w:b w:val="0"/>
                <w:sz w:val="19"/>
              </w:rPr>
              <w:t>Administrative bridge under existing EV encroachment authority</w:t>
            </w:r>
          </w:p>
        </w:tc>
      </w:tr>
      <w:tr>
        <w:tc>
          <w:tcPr>
            <w:tcW w:type="dxa" w:w="1987"/>
            <w:vAlign w:val="top"/>
          </w:tcPr>
          <w:p>
            <w:pPr>
              <w:spacing w:after="0"/>
            </w:pPr>
            <w:r/>
            <w:r>
              <w:rPr>
                <w:b w:val="0"/>
                <w:sz w:val="19"/>
              </w:rPr>
              <w:t>City service request for flush crossing</w:t>
            </w:r>
          </w:p>
        </w:tc>
        <w:tc>
          <w:tcPr>
            <w:tcW w:type="dxa" w:w="1987"/>
            <w:vAlign w:val="top"/>
          </w:tcPr>
          <w:p>
            <w:pPr>
              <w:spacing w:after="0"/>
            </w:pPr>
            <w:r/>
            <w:r>
              <w:rPr>
                <w:b w:val="0"/>
                <w:sz w:val="19"/>
              </w:rPr>
              <w:t>Near term once standardized</w:t>
            </w:r>
          </w:p>
        </w:tc>
        <w:tc>
          <w:tcPr>
            <w:tcW w:type="dxa" w:w="1987"/>
            <w:vAlign w:val="top"/>
          </w:tcPr>
          <w:p>
            <w:pPr>
              <w:spacing w:after="0"/>
            </w:pPr>
            <w:r/>
            <w:r>
              <w:rPr>
                <w:b w:val="0"/>
                <w:sz w:val="19"/>
              </w:rPr>
              <w:t>Lowest administrative burden</w:t>
            </w:r>
          </w:p>
        </w:tc>
        <w:tc>
          <w:tcPr>
            <w:tcW w:type="dxa" w:w="1987"/>
            <w:vAlign w:val="top"/>
          </w:tcPr>
          <w:p>
            <w:pPr>
              <w:spacing w:after="0"/>
            </w:pPr>
            <w:r/>
            <w:r>
              <w:rPr>
                <w:b w:val="0"/>
                <w:sz w:val="19"/>
              </w:rPr>
              <w:t>Preferred permanent condition</w:t>
            </w:r>
          </w:p>
        </w:tc>
        <w:tc>
          <w:tcPr>
            <w:tcW w:type="dxa" w:w="1987"/>
            <w:vAlign w:val="top"/>
          </w:tcPr>
          <w:p>
            <w:pPr>
              <w:spacing w:after="0"/>
            </w:pPr>
            <w:r/>
            <w:r>
              <w:rPr>
                <w:b w:val="0"/>
                <w:sz w:val="19"/>
              </w:rPr>
              <w:t>Make the default permanent pathway</w:t>
            </w:r>
          </w:p>
        </w:tc>
      </w:tr>
      <w:tr>
        <w:tc>
          <w:tcPr>
            <w:tcW w:type="dxa" w:w="1987"/>
            <w:vAlign w:val="top"/>
          </w:tcPr>
          <w:p>
            <w:pPr>
              <w:spacing w:after="0"/>
            </w:pPr>
            <w:r/>
            <w:r>
              <w:rPr>
                <w:b w:val="0"/>
                <w:sz w:val="19"/>
              </w:rPr>
              <w:t>Resident-led excavation permit</w:t>
            </w:r>
          </w:p>
        </w:tc>
        <w:tc>
          <w:tcPr>
            <w:tcW w:type="dxa" w:w="1987"/>
            <w:vAlign w:val="top"/>
          </w:tcPr>
          <w:p>
            <w:pPr>
              <w:spacing w:after="0"/>
            </w:pPr>
            <w:r/>
            <w:r>
              <w:rPr>
                <w:b w:val="0"/>
                <w:sz w:val="19"/>
              </w:rPr>
              <w:t>Available but cumbersome</w:t>
            </w:r>
          </w:p>
        </w:tc>
        <w:tc>
          <w:tcPr>
            <w:tcW w:type="dxa" w:w="1987"/>
            <w:vAlign w:val="top"/>
          </w:tcPr>
          <w:p>
            <w:pPr>
              <w:spacing w:after="0"/>
            </w:pPr>
            <w:r/>
            <w:r>
              <w:rPr>
                <w:b w:val="0"/>
                <w:sz w:val="19"/>
              </w:rPr>
              <w:t>High</w:t>
            </w:r>
          </w:p>
        </w:tc>
        <w:tc>
          <w:tcPr>
            <w:tcW w:type="dxa" w:w="1987"/>
            <w:vAlign w:val="top"/>
          </w:tcPr>
          <w:p>
            <w:pPr>
              <w:spacing w:after="0"/>
            </w:pPr>
            <w:r/>
            <w:r>
              <w:rPr>
                <w:b w:val="0"/>
                <w:sz w:val="19"/>
              </w:rPr>
              <w:t>Preferred permanent condition</w:t>
            </w:r>
          </w:p>
        </w:tc>
        <w:tc>
          <w:tcPr>
            <w:tcW w:type="dxa" w:w="1987"/>
            <w:vAlign w:val="top"/>
          </w:tcPr>
          <w:p>
            <w:pPr>
              <w:spacing w:after="0"/>
            </w:pPr>
            <w:r/>
            <w:r>
              <w:rPr>
                <w:b w:val="0"/>
                <w:sz w:val="19"/>
              </w:rPr>
              <w:t>Fallback, not the default consumer experience</w:t>
            </w:r>
          </w:p>
        </w:tc>
      </w:tr>
      <w:tr>
        <w:tc>
          <w:tcPr>
            <w:tcW w:type="dxa" w:w="1987"/>
            <w:vAlign w:val="top"/>
          </w:tcPr>
          <w:p>
            <w:pPr>
              <w:spacing w:after="0"/>
            </w:pPr>
            <w:r/>
            <w:r>
              <w:rPr>
                <w:b w:val="0"/>
                <w:sz w:val="19"/>
              </w:rPr>
              <w:t>Dedicated residential permit category</w:t>
            </w:r>
          </w:p>
        </w:tc>
        <w:tc>
          <w:tcPr>
            <w:tcW w:type="dxa" w:w="1987"/>
            <w:vAlign w:val="top"/>
          </w:tcPr>
          <w:p>
            <w:pPr>
              <w:spacing w:after="0"/>
            </w:pPr>
            <w:r/>
            <w:r>
              <w:rPr>
                <w:b w:val="0"/>
                <w:sz w:val="19"/>
              </w:rPr>
              <w:t>Requires policy work</w:t>
            </w:r>
          </w:p>
        </w:tc>
        <w:tc>
          <w:tcPr>
            <w:tcW w:type="dxa" w:w="1987"/>
            <w:vAlign w:val="top"/>
          </w:tcPr>
          <w:p>
            <w:pPr>
              <w:spacing w:after="0"/>
            </w:pPr>
            <w:r/>
            <w:r>
              <w:rPr>
                <w:b w:val="0"/>
                <w:sz w:val="19"/>
              </w:rPr>
              <w:t>Low to moderate</w:t>
            </w:r>
          </w:p>
        </w:tc>
        <w:tc>
          <w:tcPr>
            <w:tcW w:type="dxa" w:w="1987"/>
            <w:vAlign w:val="top"/>
          </w:tcPr>
          <w:p>
            <w:pPr>
              <w:spacing w:after="0"/>
            </w:pPr>
            <w:r/>
            <w:r>
              <w:rPr>
                <w:b w:val="0"/>
                <w:sz w:val="19"/>
              </w:rPr>
              <w:t>Supports both ramp and flush options</w:t>
            </w:r>
          </w:p>
        </w:tc>
        <w:tc>
          <w:tcPr>
            <w:tcW w:type="dxa" w:w="1987"/>
            <w:vAlign w:val="top"/>
          </w:tcPr>
          <w:p>
            <w:pPr>
              <w:spacing w:after="0"/>
            </w:pPr>
            <w:r/>
            <w:r>
              <w:rPr>
                <w:b w:val="0"/>
                <w:sz w:val="19"/>
              </w:rPr>
              <w:t>Durable legal framework</w:t>
            </w:r>
          </w:p>
        </w:tc>
      </w:tr>
    </w:tbl>
    <w:p>
      <w:pPr>
        <w:pStyle w:val="Heading1"/>
      </w:pPr>
      <w:r>
        <w:t>9. Recommended City Action</w:t>
      </w:r>
    </w:p>
    <w:p>
      <w:pPr>
        <w:pStyle w:val="Heading2"/>
      </w:pPr>
      <w:r>
        <w:t>Authorize safe protected crossings now.</w:t>
      </w:r>
    </w:p>
    <w:p>
      <w:pPr>
        <w:spacing w:after="100" w:line="252" w:lineRule="auto"/>
      </w:pPr>
      <w:r>
        <w:rPr>
          <w:i w:val="0"/>
        </w:rPr>
        <w:t>Adopt interim performance standards, an approved-product process, charging-only deployment, no parking reservation, weather restrictions, inspection, and revocation.</w:t>
      </w:r>
    </w:p>
    <w:p>
      <w:pPr>
        <w:pStyle w:val="Heading2"/>
      </w:pPr>
      <w:r>
        <w:t>Create a City-installed flush-crossing service.</w:t>
      </w:r>
    </w:p>
    <w:p>
      <w:pPr>
        <w:spacing w:after="100" w:line="252" w:lineRule="auto"/>
      </w:pPr>
      <w:r>
        <w:rPr>
          <w:i w:val="0"/>
        </w:rPr>
        <w:t>Develop a standard detail, eligibility screen, published fee or subsidy structure, approved contractor arrangement, and simple resident service request. Design the user experience around minimal administrative time.</w:t>
      </w:r>
    </w:p>
    <w:p>
      <w:pPr>
        <w:pStyle w:val="Heading2"/>
      </w:pPr>
      <w:r>
        <w:t>Request a written interpretation of Ordinance No. 5619.</w:t>
      </w:r>
    </w:p>
    <w:p>
      <w:pPr>
        <w:spacing w:after="100" w:line="252" w:lineRule="auto"/>
      </w:pPr>
      <w:r>
        <w:rPr>
          <w:i w:val="0"/>
        </w:rPr>
        <w:t>Ask the City Attorney and T&amp;ES whether the existing ordinance allows a residential public-access license for homeowner-funded EVSE that is genuinely available to the public.</w:t>
      </w:r>
    </w:p>
    <w:p>
      <w:pPr>
        <w:pStyle w:val="Heading2"/>
      </w:pPr>
      <w:r>
        <w:t>Pilot the residential public-access license if legally available.</w:t>
      </w:r>
    </w:p>
    <w:p>
      <w:pPr>
        <w:spacing w:after="100" w:line="252" w:lineRule="auto"/>
      </w:pPr>
      <w:r>
        <w:rPr>
          <w:i w:val="0"/>
        </w:rPr>
        <w:t>Use free or low-cost public access, no reserved parking, simplified insurance, and a single-port residential form rather than commercial-vendor terms.</w:t>
      </w:r>
    </w:p>
    <w:p>
      <w:pPr>
        <w:pStyle w:val="Heading2"/>
      </w:pPr>
      <w:r>
        <w:t>Create the durable residential category.</w:t>
      </w:r>
    </w:p>
    <w:p>
      <w:pPr>
        <w:spacing w:after="100" w:line="252" w:lineRule="auto"/>
      </w:pPr>
      <w:r>
        <w:rPr>
          <w:i w:val="0"/>
        </w:rPr>
        <w:t>Ultimately amend policy or code as needed so residential charging does not depend on public availability. Allow both approved surface protectors and flush crossings, with the latter preferred where feasible.</w:t>
      </w:r>
    </w:p>
    <w:p>
      <w:pPr>
        <w:pStyle w:val="Heading1"/>
      </w:pPr>
      <w:r>
        <w:t>Conclusion</w:t>
      </w:r>
    </w:p>
    <w:p>
      <w:pPr>
        <w:spacing w:after="80" w:line="252" w:lineRule="auto"/>
      </w:pPr>
      <w:r>
        <w:rPr>
          <w:i w:val="0"/>
        </w:rPr>
        <w:t>Alexandria has more than one lawful path forward. The City can regulate the sidewalk and still permit safe residential charging. Peer cities show that protected cable crossings can function as controlled near-term infrastructure. Alexandria's own 2026 EV amendment may support a residential public-access licensing bridge. Recessed or flush crossings remain the preferred physical end state.</w:t>
      </w:r>
    </w:p>
    <w:p>
      <w:pPr>
        <w:spacing w:after="80" w:line="252" w:lineRule="auto"/>
      </w:pPr>
      <w:r>
        <w:rPr>
          <w:i w:val="0"/>
        </w:rPr>
        <w:t>The most important addition is institutional rather than technical: the permanent solution should be easy for a resident to obtain. The City should avoid replacing a sidewalk ramp with a paperwork obstacle. A simple service request for a standardized City-installed crossing may be the least-resistance pathway because it minimizes household time, centralizes quality control, and lets the City procure small installations efficiently.</w:t>
      </w:r>
    </w:p>
    <w:p>
      <w:pPr>
        <w:spacing w:after="80" w:line="252" w:lineRule="auto"/>
      </w:pPr>
      <w:r>
        <w:rPr>
          <w:i w:val="0"/>
        </w:rPr>
        <w:t>The policy objective should therefore be: safe access now, public-access experimentation where useful, and a City-managed path to better infrastructure over time. The existence of a better future design should not become the reason to prohibit an acceptable present one.</w:t>
      </w:r>
    </w:p>
    <w:p>
      <w:pPr>
        <w:pStyle w:val="Heading1"/>
      </w:pPr>
      <w:r>
        <w:t>Sources and Basis</w:t>
      </w:r>
    </w:p>
    <w:p>
      <w:pPr>
        <w:pStyle w:val="ListBullet"/>
        <w:spacing w:after="40"/>
      </w:pPr>
      <w:r>
        <w:t>Formal Memorandum Supporting a Residential Curbside EV Charging Approval Path in Alexandria City, Virginia, supplied September 2026.</w:t>
      </w:r>
    </w:p>
    <w:p>
      <w:pPr>
        <w:pStyle w:val="ListBullet"/>
        <w:spacing w:after="40"/>
      </w:pPr>
      <w:r>
        <w:t>Alexandria Code §§ 5-2-13, 5-2-16, and 5-2-29; Ordinance No. 5619 and associated 2026 EV charging program materials.</w:t>
      </w:r>
    </w:p>
    <w:p>
      <w:pPr>
        <w:pStyle w:val="ListBullet"/>
        <w:spacing w:after="40"/>
      </w:pPr>
      <w:r>
        <w:t>Cross-Curb EV Charging in Alexandria: Options, Preliminary Costs, and a Practical Permit Pathway, September 2026.</w:t>
      </w:r>
    </w:p>
    <w:p>
      <w:pPr>
        <w:pStyle w:val="ListBullet"/>
        <w:spacing w:after="40"/>
      </w:pPr>
      <w:r>
        <w:t>The Cost of Waiting: Residential Charging Access, Household Burden, and Vehicle Lock-In in Alexandria, Virginia, September 2026.</w:t>
      </w:r>
    </w:p>
    <w:p>
      <w:pPr>
        <w:pStyle w:val="ListBullet"/>
        <w:spacing w:after="40"/>
      </w:pPr>
      <w:r>
        <w:t>An Alternative EV Charging Strategy for Alexandria, August 2026.</w:t>
      </w:r>
    </w:p>
    <w:p>
      <w:pPr>
        <w:pStyle w:val="ListBullet"/>
        <w:spacing w:after="40"/>
      </w:pPr>
      <w:r>
        <w:t>A Balanced EV Charging Capacity Strategy for Alexandria, August 2026.</w:t>
      </w:r>
    </w:p>
    <w:p>
      <w:pPr>
        <w:pStyle w:val="ListBullet"/>
        <w:spacing w:after="40"/>
      </w:pPr>
      <w:r>
        <w:t>CurbsideALX peer-city research, including Fredericksburg, Portland, Seattle, Oakland, and Cambridge.</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sz w:val="16"/>
      </w:rPr>
      <w:t>CurbsideALX legal-policy working brief |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