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An Alternative EV Charging Strategy for Alexandria</w:t>
      </w:r>
    </w:p>
    <w:p>
      <w:pPr>
        <w:pStyle w:val="Subtitle2"/>
        <w:jc w:val="center"/>
      </w:pPr>
      <w:r>
        <w:t>Comparing a public-Level-2-first approach with DC fast charging and residential cross-curb access</w:t>
      </w:r>
    </w:p>
    <w:p>
      <w:pPr>
        <w:jc w:val="center"/>
      </w:pPr>
      <w:r>
        <w:rPr>
          <w:color w:val="5F5F5F"/>
          <w:sz w:val="18"/>
        </w:rPr>
        <w:t>Working policy analysis | August 2026</w:t>
      </w:r>
    </w:p>
    <w:p>
      <w:pPr>
        <w:pStyle w:val="Heading1"/>
      </w:pPr>
      <w:r>
        <w:t>Top-line capacity requirement</w:t>
      </w:r>
    </w:p>
    <w:p>
      <w:r>
        <w:rPr>
          <w:b/>
        </w:rPr>
        <w:t xml:space="preserve">The physical build-out difference is large. </w:t>
      </w:r>
      <w:r>
        <w:t>Assuming 35% of EV owners lack conventional home charging and shared ports average 30% utilization, an L2-first strategy requires thousands of neighborhood ports as EV adoption rises. A DC-fast-first backstop requires roughly one-tenth as many shared ports, and enabling half of the affected households to charge across the curb cuts the remaining fast-charging requirement in half again.</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55" w:type="dxa"/>
              <w:start w:w="75" w:type="dxa"/>
              <w:bottom w:w="55" w:type="dxa"/>
              <w:end w:w="75" w:type="dxa"/>
            </w:tcMar>
            <w:shd w:fill="CFE2F3"/>
          </w:tcPr>
          <w:p>
            <w:pPr>
              <w:spacing w:after="0" w:before="0"/>
            </w:pPr>
            <w:r>
              <w:rPr>
                <w:rFonts w:ascii="Aptos" w:hAnsi="Aptos"/>
                <w:b/>
                <w:sz w:val="17"/>
              </w:rPr>
              <w:t>Citywide EV penetration</w:t>
            </w:r>
          </w:p>
        </w:tc>
        <w:tc>
          <w:tcPr>
            <w:tcW w:type="dxa" w:w="1752"/>
            <w:vAlign w:val="center"/>
            <w:tcMar>
              <w:top w:w="55" w:type="dxa"/>
              <w:start w:w="75" w:type="dxa"/>
              <w:bottom w:w="55" w:type="dxa"/>
              <w:end w:w="75" w:type="dxa"/>
            </w:tcMar>
            <w:shd w:fill="CFE2F3"/>
          </w:tcPr>
          <w:p>
            <w:pPr>
              <w:spacing w:after="0" w:before="0"/>
            </w:pPr>
            <w:r>
              <w:rPr>
                <w:rFonts w:ascii="Aptos" w:hAnsi="Aptos"/>
                <w:b/>
                <w:sz w:val="17"/>
              </w:rPr>
              <w:t>Affected EV owners</w:t>
            </w:r>
          </w:p>
        </w:tc>
        <w:tc>
          <w:tcPr>
            <w:tcW w:type="dxa" w:w="1752"/>
            <w:vAlign w:val="center"/>
            <w:tcMar>
              <w:top w:w="55" w:type="dxa"/>
              <w:start w:w="75" w:type="dxa"/>
              <w:bottom w:w="55" w:type="dxa"/>
              <w:end w:w="75" w:type="dxa"/>
            </w:tcMar>
            <w:shd w:fill="CFE2F3"/>
          </w:tcPr>
          <w:p>
            <w:pPr>
              <w:spacing w:after="0" w:before="0"/>
            </w:pPr>
            <w:r>
              <w:rPr>
                <w:rFonts w:ascii="Aptos" w:hAnsi="Aptos"/>
                <w:b/>
                <w:sz w:val="17"/>
              </w:rPr>
              <w:t>L2-first ports</w:t>
            </w:r>
          </w:p>
        </w:tc>
        <w:tc>
          <w:tcPr>
            <w:tcW w:type="dxa" w:w="1752"/>
            <w:vAlign w:val="center"/>
            <w:tcMar>
              <w:top w:w="55" w:type="dxa"/>
              <w:start w:w="75" w:type="dxa"/>
              <w:bottom w:w="55" w:type="dxa"/>
              <w:end w:w="75" w:type="dxa"/>
            </w:tcMar>
            <w:shd w:fill="CFE2F3"/>
          </w:tcPr>
          <w:p>
            <w:pPr>
              <w:spacing w:after="0" w:before="0"/>
            </w:pPr>
            <w:r>
              <w:rPr>
                <w:rFonts w:ascii="Aptos" w:hAnsi="Aptos"/>
                <w:b/>
                <w:sz w:val="17"/>
              </w:rPr>
              <w:t>L3-only ports</w:t>
              <w:br/>
              <w:t>(30-min)</w:t>
            </w:r>
          </w:p>
        </w:tc>
        <w:tc>
          <w:tcPr>
            <w:tcW w:type="dxa" w:w="1752"/>
            <w:vAlign w:val="center"/>
            <w:tcMar>
              <w:top w:w="55" w:type="dxa"/>
              <w:start w:w="75" w:type="dxa"/>
              <w:bottom w:w="55" w:type="dxa"/>
              <w:end w:w="75" w:type="dxa"/>
            </w:tcMar>
            <w:shd w:fill="CFE2F3"/>
          </w:tcPr>
          <w:p>
            <w:pPr>
              <w:spacing w:after="0" w:before="0"/>
            </w:pPr>
            <w:r>
              <w:rPr>
                <w:rFonts w:ascii="Aptos" w:hAnsi="Aptos"/>
                <w:b/>
                <w:sz w:val="17"/>
              </w:rPr>
              <w:t>50% cross-curb + L3</w:t>
            </w:r>
          </w:p>
        </w:tc>
        <w:tc>
          <w:tcPr>
            <w:tcW w:type="dxa" w:w="1752"/>
            <w:vAlign w:val="center"/>
            <w:tcMar>
              <w:top w:w="55" w:type="dxa"/>
              <w:start w:w="75" w:type="dxa"/>
              <w:bottom w:w="55" w:type="dxa"/>
              <w:end w:w="75" w:type="dxa"/>
            </w:tcMar>
            <w:shd w:fill="CFE2F3"/>
          </w:tcPr>
          <w:p>
            <w:pPr>
              <w:spacing w:after="0" w:before="0"/>
            </w:pPr>
            <w:r>
              <w:rPr>
                <w:rFonts w:ascii="Aptos" w:hAnsi="Aptos"/>
                <w:b/>
                <w:sz w:val="17"/>
              </w:rPr>
              <w:t>Approx. 4-port L3 sites</w:t>
            </w:r>
          </w:p>
        </w:tc>
      </w:tr>
      <w:tr>
        <w:tc>
          <w:tcPr>
            <w:tcW w:type="dxa" w:w="1752"/>
            <w:vAlign w:val="center"/>
            <w:tcMar>
              <w:top w:w="55" w:type="dxa"/>
              <w:start w:w="75" w:type="dxa"/>
              <w:bottom w:w="55" w:type="dxa"/>
              <w:end w:w="75" w:type="dxa"/>
            </w:tcMar>
          </w:tcPr>
          <w:p>
            <w:pPr>
              <w:spacing w:after="0" w:before="0"/>
            </w:pPr>
            <w:r>
              <w:rPr>
                <w:rFonts w:ascii="Aptos" w:hAnsi="Aptos"/>
                <w:sz w:val="17"/>
              </w:rPr>
              <w:t>25%</w:t>
            </w:r>
          </w:p>
        </w:tc>
        <w:tc>
          <w:tcPr>
            <w:tcW w:type="dxa" w:w="1752"/>
            <w:vAlign w:val="center"/>
            <w:tcMar>
              <w:top w:w="55" w:type="dxa"/>
              <w:start w:w="75" w:type="dxa"/>
              <w:bottom w:w="55" w:type="dxa"/>
              <w:end w:w="75" w:type="dxa"/>
            </w:tcMar>
          </w:tcPr>
          <w:p>
            <w:pPr>
              <w:spacing w:after="0" w:before="0"/>
            </w:pPr>
            <w:r>
              <w:rPr>
                <w:rFonts w:ascii="Aptos" w:hAnsi="Aptos"/>
                <w:sz w:val="17"/>
              </w:rPr>
              <w:t>10,525</w:t>
            </w:r>
          </w:p>
        </w:tc>
        <w:tc>
          <w:tcPr>
            <w:tcW w:type="dxa" w:w="1752"/>
            <w:vAlign w:val="center"/>
            <w:tcMar>
              <w:top w:w="55" w:type="dxa"/>
              <w:start w:w="75" w:type="dxa"/>
              <w:bottom w:w="55" w:type="dxa"/>
              <w:end w:w="75" w:type="dxa"/>
            </w:tcMar>
          </w:tcPr>
          <w:p>
            <w:pPr>
              <w:spacing w:after="0" w:before="0"/>
            </w:pPr>
            <w:r>
              <w:rPr>
                <w:rFonts w:ascii="Aptos" w:hAnsi="Aptos"/>
                <w:sz w:val="17"/>
              </w:rPr>
              <w:t>1,502</w:t>
            </w:r>
          </w:p>
        </w:tc>
        <w:tc>
          <w:tcPr>
            <w:tcW w:type="dxa" w:w="1752"/>
            <w:vAlign w:val="center"/>
            <w:tcMar>
              <w:top w:w="55" w:type="dxa"/>
              <w:start w:w="75" w:type="dxa"/>
              <w:bottom w:w="55" w:type="dxa"/>
              <w:end w:w="75" w:type="dxa"/>
            </w:tcMar>
          </w:tcPr>
          <w:p>
            <w:pPr>
              <w:spacing w:after="0" w:before="0"/>
            </w:pPr>
            <w:r>
              <w:rPr>
                <w:rFonts w:ascii="Aptos" w:hAnsi="Aptos"/>
                <w:sz w:val="17"/>
              </w:rPr>
              <w:t>160</w:t>
            </w:r>
          </w:p>
        </w:tc>
        <w:tc>
          <w:tcPr>
            <w:tcW w:type="dxa" w:w="1752"/>
            <w:vAlign w:val="center"/>
            <w:tcMar>
              <w:top w:w="55" w:type="dxa"/>
              <w:start w:w="75" w:type="dxa"/>
              <w:bottom w:w="55" w:type="dxa"/>
              <w:end w:w="75" w:type="dxa"/>
            </w:tcMar>
          </w:tcPr>
          <w:p>
            <w:pPr>
              <w:spacing w:after="0" w:before="0"/>
            </w:pPr>
            <w:r>
              <w:rPr>
                <w:rFonts w:ascii="Aptos" w:hAnsi="Aptos"/>
                <w:sz w:val="17"/>
              </w:rPr>
              <w:t>80</w:t>
            </w:r>
          </w:p>
        </w:tc>
        <w:tc>
          <w:tcPr>
            <w:tcW w:type="dxa" w:w="1752"/>
            <w:vAlign w:val="center"/>
            <w:tcMar>
              <w:top w:w="55" w:type="dxa"/>
              <w:start w:w="75" w:type="dxa"/>
              <w:bottom w:w="55" w:type="dxa"/>
              <w:end w:w="75" w:type="dxa"/>
            </w:tcMar>
          </w:tcPr>
          <w:p>
            <w:pPr>
              <w:spacing w:after="0" w:before="0"/>
            </w:pPr>
            <w:r>
              <w:rPr>
                <w:rFonts w:ascii="Aptos" w:hAnsi="Aptos"/>
                <w:sz w:val="17"/>
              </w:rPr>
              <w:t>21</w:t>
            </w:r>
          </w:p>
        </w:tc>
      </w:tr>
      <w:tr>
        <w:tc>
          <w:tcPr>
            <w:tcW w:type="dxa" w:w="1752"/>
            <w:vAlign w:val="center"/>
            <w:tcMar>
              <w:top w:w="55" w:type="dxa"/>
              <w:start w:w="75" w:type="dxa"/>
              <w:bottom w:w="55" w:type="dxa"/>
              <w:end w:w="75" w:type="dxa"/>
            </w:tcMar>
          </w:tcPr>
          <w:p>
            <w:pPr>
              <w:spacing w:after="0" w:before="0"/>
            </w:pPr>
            <w:r>
              <w:rPr>
                <w:rFonts w:ascii="Aptos" w:hAnsi="Aptos"/>
                <w:sz w:val="17"/>
              </w:rPr>
              <w:t>50%</w:t>
            </w:r>
          </w:p>
        </w:tc>
        <w:tc>
          <w:tcPr>
            <w:tcW w:type="dxa" w:w="1752"/>
            <w:vAlign w:val="center"/>
            <w:tcMar>
              <w:top w:w="55" w:type="dxa"/>
              <w:start w:w="75" w:type="dxa"/>
              <w:bottom w:w="55" w:type="dxa"/>
              <w:end w:w="75" w:type="dxa"/>
            </w:tcMar>
          </w:tcPr>
          <w:p>
            <w:pPr>
              <w:spacing w:after="0" w:before="0"/>
            </w:pPr>
            <w:r>
              <w:rPr>
                <w:rFonts w:ascii="Aptos" w:hAnsi="Aptos"/>
                <w:sz w:val="17"/>
              </w:rPr>
              <w:t>21,051</w:t>
            </w:r>
          </w:p>
        </w:tc>
        <w:tc>
          <w:tcPr>
            <w:tcW w:type="dxa" w:w="1752"/>
            <w:vAlign w:val="center"/>
            <w:tcMar>
              <w:top w:w="55" w:type="dxa"/>
              <w:start w:w="75" w:type="dxa"/>
              <w:bottom w:w="55" w:type="dxa"/>
              <w:end w:w="75" w:type="dxa"/>
            </w:tcMar>
          </w:tcPr>
          <w:p>
            <w:pPr>
              <w:spacing w:after="0" w:before="0"/>
            </w:pPr>
            <w:r>
              <w:rPr>
                <w:rFonts w:ascii="Aptos" w:hAnsi="Aptos"/>
                <w:sz w:val="17"/>
              </w:rPr>
              <w:t>3,004</w:t>
            </w:r>
          </w:p>
        </w:tc>
        <w:tc>
          <w:tcPr>
            <w:tcW w:type="dxa" w:w="1752"/>
            <w:vAlign w:val="center"/>
            <w:tcMar>
              <w:top w:w="55" w:type="dxa"/>
              <w:start w:w="75" w:type="dxa"/>
              <w:bottom w:w="55" w:type="dxa"/>
              <w:end w:w="75" w:type="dxa"/>
            </w:tcMar>
          </w:tcPr>
          <w:p>
            <w:pPr>
              <w:spacing w:after="0" w:before="0"/>
            </w:pPr>
            <w:r>
              <w:rPr>
                <w:rFonts w:ascii="Aptos" w:hAnsi="Aptos"/>
                <w:sz w:val="17"/>
              </w:rPr>
              <w:t>320</w:t>
            </w:r>
          </w:p>
        </w:tc>
        <w:tc>
          <w:tcPr>
            <w:tcW w:type="dxa" w:w="1752"/>
            <w:vAlign w:val="center"/>
            <w:tcMar>
              <w:top w:w="55" w:type="dxa"/>
              <w:start w:w="75" w:type="dxa"/>
              <w:bottom w:w="55" w:type="dxa"/>
              <w:end w:w="75" w:type="dxa"/>
            </w:tcMar>
          </w:tcPr>
          <w:p>
            <w:pPr>
              <w:spacing w:after="0" w:before="0"/>
            </w:pPr>
            <w:r>
              <w:rPr>
                <w:rFonts w:ascii="Aptos" w:hAnsi="Aptos"/>
                <w:sz w:val="17"/>
              </w:rPr>
              <w:t>160</w:t>
            </w:r>
          </w:p>
        </w:tc>
        <w:tc>
          <w:tcPr>
            <w:tcW w:type="dxa" w:w="1752"/>
            <w:vAlign w:val="center"/>
            <w:tcMar>
              <w:top w:w="55" w:type="dxa"/>
              <w:start w:w="75" w:type="dxa"/>
              <w:bottom w:w="55" w:type="dxa"/>
              <w:end w:w="75" w:type="dxa"/>
            </w:tcMar>
          </w:tcPr>
          <w:p>
            <w:pPr>
              <w:spacing w:after="0" w:before="0"/>
            </w:pPr>
            <w:r>
              <w:rPr>
                <w:rFonts w:ascii="Aptos" w:hAnsi="Aptos"/>
                <w:sz w:val="17"/>
              </w:rPr>
              <w:t>41</w:t>
            </w:r>
          </w:p>
        </w:tc>
      </w:tr>
      <w:tr>
        <w:tc>
          <w:tcPr>
            <w:tcW w:type="dxa" w:w="1752"/>
            <w:vAlign w:val="center"/>
            <w:tcMar>
              <w:top w:w="55" w:type="dxa"/>
              <w:start w:w="75" w:type="dxa"/>
              <w:bottom w:w="55" w:type="dxa"/>
              <w:end w:w="75" w:type="dxa"/>
            </w:tcMar>
          </w:tcPr>
          <w:p>
            <w:pPr>
              <w:spacing w:after="0" w:before="0"/>
            </w:pPr>
            <w:r>
              <w:rPr>
                <w:rFonts w:ascii="Aptos" w:hAnsi="Aptos"/>
                <w:sz w:val="17"/>
              </w:rPr>
              <w:t>100%</w:t>
            </w:r>
          </w:p>
        </w:tc>
        <w:tc>
          <w:tcPr>
            <w:tcW w:type="dxa" w:w="1752"/>
            <w:vAlign w:val="center"/>
            <w:tcMar>
              <w:top w:w="55" w:type="dxa"/>
              <w:start w:w="75" w:type="dxa"/>
              <w:bottom w:w="55" w:type="dxa"/>
              <w:end w:w="75" w:type="dxa"/>
            </w:tcMar>
          </w:tcPr>
          <w:p>
            <w:pPr>
              <w:spacing w:after="0" w:before="0"/>
            </w:pPr>
            <w:r>
              <w:rPr>
                <w:rFonts w:ascii="Aptos" w:hAnsi="Aptos"/>
                <w:sz w:val="17"/>
              </w:rPr>
              <w:t>42,102</w:t>
            </w:r>
          </w:p>
        </w:tc>
        <w:tc>
          <w:tcPr>
            <w:tcW w:type="dxa" w:w="1752"/>
            <w:vAlign w:val="center"/>
            <w:tcMar>
              <w:top w:w="55" w:type="dxa"/>
              <w:start w:w="75" w:type="dxa"/>
              <w:bottom w:w="55" w:type="dxa"/>
              <w:end w:w="75" w:type="dxa"/>
            </w:tcMar>
          </w:tcPr>
          <w:p>
            <w:pPr>
              <w:spacing w:after="0" w:before="0"/>
            </w:pPr>
            <w:r>
              <w:rPr>
                <w:rFonts w:ascii="Aptos" w:hAnsi="Aptos"/>
                <w:sz w:val="17"/>
              </w:rPr>
              <w:t>6,008</w:t>
            </w:r>
          </w:p>
        </w:tc>
        <w:tc>
          <w:tcPr>
            <w:tcW w:type="dxa" w:w="1752"/>
            <w:vAlign w:val="center"/>
            <w:tcMar>
              <w:top w:w="55" w:type="dxa"/>
              <w:start w:w="75" w:type="dxa"/>
              <w:bottom w:w="55" w:type="dxa"/>
              <w:end w:w="75" w:type="dxa"/>
            </w:tcMar>
          </w:tcPr>
          <w:p>
            <w:pPr>
              <w:spacing w:after="0" w:before="0"/>
            </w:pPr>
            <w:r>
              <w:rPr>
                <w:rFonts w:ascii="Aptos" w:hAnsi="Aptos"/>
                <w:sz w:val="17"/>
              </w:rPr>
              <w:t>641</w:t>
            </w:r>
          </w:p>
        </w:tc>
        <w:tc>
          <w:tcPr>
            <w:tcW w:type="dxa" w:w="1752"/>
            <w:vAlign w:val="center"/>
            <w:tcMar>
              <w:top w:w="55" w:type="dxa"/>
              <w:start w:w="75" w:type="dxa"/>
              <w:bottom w:w="55" w:type="dxa"/>
              <w:end w:w="75" w:type="dxa"/>
            </w:tcMar>
          </w:tcPr>
          <w:p>
            <w:pPr>
              <w:spacing w:after="0" w:before="0"/>
            </w:pPr>
            <w:r>
              <w:rPr>
                <w:rFonts w:ascii="Aptos" w:hAnsi="Aptos"/>
                <w:sz w:val="17"/>
              </w:rPr>
              <w:t>320</w:t>
            </w:r>
          </w:p>
        </w:tc>
        <w:tc>
          <w:tcPr>
            <w:tcW w:type="dxa" w:w="1752"/>
            <w:vAlign w:val="center"/>
            <w:tcMar>
              <w:top w:w="55" w:type="dxa"/>
              <w:start w:w="75" w:type="dxa"/>
              <w:bottom w:w="55" w:type="dxa"/>
              <w:end w:w="75" w:type="dxa"/>
            </w:tcMar>
          </w:tcPr>
          <w:p>
            <w:pPr>
              <w:spacing w:after="0" w:before="0"/>
            </w:pPr>
            <w:r>
              <w:rPr>
                <w:rFonts w:ascii="Aptos" w:hAnsi="Aptos"/>
                <w:sz w:val="17"/>
              </w:rPr>
              <w:t>81</w:t>
            </w:r>
          </w:p>
        </w:tc>
      </w:tr>
    </w:tbl>
    <w:p>
      <w:r>
        <w:rPr>
          <w:b/>
        </w:rPr>
        <w:t xml:space="preserve">At 25% EV penetration: </w:t>
      </w:r>
      <w:r>
        <w:t>approximately 1,502 L2 ports would be required for the affected cohort under L2-first, versus about 160 30-minute L3 ports. If half of affected households can use cross-curb home charging, the requirement falls to about 80 L3 ports, or roughly 21 four-port sites.</w:t>
      </w:r>
    </w:p>
    <w:tbl>
      <w:tblPr>
        <w:tblW w:type="auto" w:w="0"/>
        <w:jc w:val="center"/>
        <w:tblLook w:firstColumn="1" w:firstRow="1" w:lastColumn="0" w:lastRow="0" w:noHBand="0" w:noVBand="1" w:val="04A0"/>
      </w:tblPr>
      <w:tblGrid>
        <w:gridCol w:w="3504"/>
        <w:gridCol w:w="3504"/>
        <w:gridCol w:w="3504"/>
      </w:tblGrid>
      <w:tr>
        <w:tc>
          <w:tcPr>
            <w:tcW w:type="dxa" w:w="3504"/>
            <w:shd w:fill="EDF4EA"/>
            <w:tcMar>
              <w:top w:w="78" w:type="dxa"/>
              <w:start w:w="90" w:type="dxa"/>
              <w:bottom w:w="78" w:type="dxa"/>
              <w:end w:w="90" w:type="dxa"/>
            </w:tcMar>
          </w:tcPr>
          <w:p>
            <w:r>
              <w:rPr>
                <w:rFonts w:ascii="Aptos" w:hAnsi="Aptos"/>
                <w:sz w:val="18"/>
              </w:rPr>
              <w:t>Home / cross-curb annual burden</w:t>
            </w:r>
          </w:p>
        </w:tc>
        <w:tc>
          <w:tcPr>
            <w:tcW w:type="dxa" w:w="3504"/>
            <w:shd w:fill="EDF4EA"/>
            <w:tcMar>
              <w:top w:w="78" w:type="dxa"/>
              <w:start w:w="90" w:type="dxa"/>
              <w:bottom w:w="78" w:type="dxa"/>
              <w:end w:w="90" w:type="dxa"/>
            </w:tcMar>
          </w:tcPr>
          <w:p>
            <w:r>
              <w:rPr>
                <w:rFonts w:ascii="Aptos" w:hAnsi="Aptos"/>
                <w:b/>
                <w:sz w:val="22"/>
              </w:rPr>
              <w:t>$1,128</w:t>
            </w:r>
          </w:p>
        </w:tc>
        <w:tc>
          <w:tcPr>
            <w:tcW w:type="dxa" w:w="3504"/>
            <w:shd w:fill="EDF4EA"/>
            <w:tcMar>
              <w:top w:w="78" w:type="dxa"/>
              <w:start w:w="90" w:type="dxa"/>
              <w:bottom w:w="78" w:type="dxa"/>
              <w:end w:w="90" w:type="dxa"/>
            </w:tcMar>
          </w:tcPr>
          <w:p>
            <w:r>
              <w:rPr>
                <w:rFonts w:ascii="Aptos" w:hAnsi="Aptos"/>
                <w:sz w:val="18"/>
              </w:rPr>
              <w:t>Lowest-cost case; charging occurs where the vehicle is already parked</w:t>
            </w:r>
          </w:p>
        </w:tc>
      </w:tr>
      <w:tr>
        <w:tc>
          <w:tcPr>
            <w:tcW w:type="dxa" w:w="3504"/>
            <w:shd w:fill="EDF4EA"/>
            <w:tcMar>
              <w:top w:w="78" w:type="dxa"/>
              <w:start w:w="90" w:type="dxa"/>
              <w:bottom w:w="78" w:type="dxa"/>
              <w:end w:w="90" w:type="dxa"/>
            </w:tcMar>
          </w:tcPr>
          <w:p>
            <w:r>
              <w:rPr>
                <w:rFonts w:ascii="Aptos" w:hAnsi="Aptos"/>
                <w:sz w:val="18"/>
              </w:rPr>
              <w:t>Mature neighborhood L2 burden</w:t>
            </w:r>
          </w:p>
        </w:tc>
        <w:tc>
          <w:tcPr>
            <w:tcW w:type="dxa" w:w="3504"/>
            <w:shd w:fill="EDF4EA"/>
            <w:tcMar>
              <w:top w:w="78" w:type="dxa"/>
              <w:start w:w="90" w:type="dxa"/>
              <w:bottom w:w="78" w:type="dxa"/>
              <w:end w:w="90" w:type="dxa"/>
            </w:tcMar>
          </w:tcPr>
          <w:p>
            <w:r>
              <w:rPr>
                <w:rFonts w:ascii="Aptos" w:hAnsi="Aptos"/>
                <w:b/>
                <w:sz w:val="22"/>
              </w:rPr>
              <w:t>$5,732</w:t>
            </w:r>
          </w:p>
        </w:tc>
        <w:tc>
          <w:tcPr>
            <w:tcW w:type="dxa" w:w="3504"/>
            <w:shd w:fill="EDF4EA"/>
            <w:tcMar>
              <w:top w:w="78" w:type="dxa"/>
              <w:start w:w="90" w:type="dxa"/>
              <w:bottom w:w="78" w:type="dxa"/>
              <w:end w:w="90" w:type="dxa"/>
            </w:tcMar>
          </w:tcPr>
          <w:p>
            <w:r>
              <w:rPr>
                <w:rFonts w:ascii="Aptos" w:hAnsi="Aptos"/>
                <w:sz w:val="18"/>
              </w:rPr>
              <w:t>30¢/kWh; 30-min round trip; 20% occupied/broken failure rate; charging dwell fully productive</w:t>
            </w:r>
          </w:p>
        </w:tc>
      </w:tr>
      <w:tr>
        <w:tc>
          <w:tcPr>
            <w:tcW w:type="dxa" w:w="3504"/>
            <w:shd w:fill="EDF4EA"/>
            <w:tcMar>
              <w:top w:w="78" w:type="dxa"/>
              <w:start w:w="90" w:type="dxa"/>
              <w:bottom w:w="78" w:type="dxa"/>
              <w:end w:w="90" w:type="dxa"/>
            </w:tcMar>
          </w:tcPr>
          <w:p>
            <w:r>
              <w:rPr>
                <w:rFonts w:ascii="Aptos" w:hAnsi="Aptos"/>
                <w:sz w:val="18"/>
              </w:rPr>
              <w:t>Optimistic L3 annual burden</w:t>
            </w:r>
          </w:p>
        </w:tc>
        <w:tc>
          <w:tcPr>
            <w:tcW w:type="dxa" w:w="3504"/>
            <w:shd w:fill="EDF4EA"/>
            <w:tcMar>
              <w:top w:w="78" w:type="dxa"/>
              <w:start w:w="90" w:type="dxa"/>
              <w:bottom w:w="78" w:type="dxa"/>
              <w:end w:w="90" w:type="dxa"/>
            </w:tcMar>
          </w:tcPr>
          <w:p>
            <w:r>
              <w:rPr>
                <w:rFonts w:ascii="Aptos" w:hAnsi="Aptos"/>
                <w:b/>
                <w:sz w:val="22"/>
              </w:rPr>
              <w:t>$5,409</w:t>
            </w:r>
          </w:p>
        </w:tc>
        <w:tc>
          <w:tcPr>
            <w:tcW w:type="dxa" w:w="3504"/>
            <w:shd w:fill="EDF4EA"/>
            <w:tcMar>
              <w:top w:w="78" w:type="dxa"/>
              <w:start w:w="90" w:type="dxa"/>
              <w:bottom w:w="78" w:type="dxa"/>
              <w:end w:w="90" w:type="dxa"/>
            </w:tcMar>
          </w:tcPr>
          <w:p>
            <w:r>
              <w:rPr>
                <w:rFonts w:ascii="Aptos" w:hAnsi="Aptos"/>
                <w:sz w:val="18"/>
              </w:rPr>
              <w:t>40¢/kWh; 20-min round trip; 30-min charging stop</w:t>
            </w:r>
          </w:p>
        </w:tc>
      </w:tr>
      <w:tr>
        <w:tc>
          <w:tcPr>
            <w:tcW w:type="dxa" w:w="3504"/>
            <w:shd w:fill="EDF4EA"/>
            <w:tcMar>
              <w:top w:w="78" w:type="dxa"/>
              <w:start w:w="90" w:type="dxa"/>
              <w:bottom w:w="78" w:type="dxa"/>
              <w:end w:w="90" w:type="dxa"/>
            </w:tcMar>
          </w:tcPr>
          <w:p>
            <w:r>
              <w:rPr>
                <w:rFonts w:ascii="Aptos" w:hAnsi="Aptos"/>
                <w:sz w:val="18"/>
              </w:rPr>
              <w:t>L2 vs. L3</w:t>
            </w:r>
          </w:p>
        </w:tc>
        <w:tc>
          <w:tcPr>
            <w:tcW w:type="dxa" w:w="3504"/>
            <w:shd w:fill="EDF4EA"/>
            <w:tcMar>
              <w:top w:w="78" w:type="dxa"/>
              <w:start w:w="90" w:type="dxa"/>
              <w:bottom w:w="78" w:type="dxa"/>
              <w:end w:w="90" w:type="dxa"/>
            </w:tcMar>
          </w:tcPr>
          <w:p>
            <w:r>
              <w:rPr>
                <w:rFonts w:ascii="Aptos" w:hAnsi="Aptos"/>
                <w:b/>
                <w:sz w:val="22"/>
              </w:rPr>
              <w:t>L2 +$322/yr</w:t>
            </w:r>
          </w:p>
        </w:tc>
        <w:tc>
          <w:tcPr>
            <w:tcW w:type="dxa" w:w="3504"/>
            <w:shd w:fill="EDF4EA"/>
            <w:tcMar>
              <w:top w:w="78" w:type="dxa"/>
              <w:start w:w="90" w:type="dxa"/>
              <w:bottom w:w="78" w:type="dxa"/>
              <w:end w:w="90" w:type="dxa"/>
            </w:tcMar>
          </w:tcPr>
          <w:p>
            <w:r>
              <w:rPr>
                <w:rFonts w:ascii="Aptos" w:hAnsi="Aptos"/>
                <w:sz w:val="18"/>
              </w:rPr>
              <w:t>Under the revised mature-network assumptions, optimistic L3 is slightly less burdensome to the driver</w:t>
            </w:r>
          </w:p>
        </w:tc>
      </w:tr>
    </w:tbl>
    <w:p>
      <w:pPr>
        <w:pStyle w:val="Heading1"/>
      </w:pPr>
      <w:r>
        <w:t>Executive summary</w:t>
      </w:r>
    </w:p>
    <w:p>
      <w:r>
        <w:rPr>
          <w:b/>
        </w:rPr>
        <w:t xml:space="preserve">Alexandria can reduce both infrastructure requirements and resident burden by treating home charging as the default whenever it can be safely enabled, and using DC fast charging as the principal high-throughput shared-charging backstop. </w:t>
      </w:r>
      <w:r>
        <w:t>Public neighborhood Level 2 remains useful, particularly at destinations and for residents whose cars naturally dwell near a charger, but an L2-first strategy requires many more physical ports and remains time-intensive even when the charging dwell itself is fully productive.</w:t>
      </w:r>
    </w:p>
    <w:p>
      <w:r>
        <w:t>Under the revised mature-network assumptions, an EV owner without a driveway bears an annual charging-related economic burden of about $1,128 with permitted cross-curb home charging, $5,732 with neighborhood Level 2, and $5,409 with routine DC fast charging. The L2 scenario is still deliberately favorable: the charger is assumed to be within a 15-minute trip each way, the vehicle can be left for three hours while the driver is fully productive, and the only reliability penalty is a 20% chance that an attempted session fails because the equipment is occupied or broken.</w:t>
      </w:r>
    </w:p>
    <w:p>
      <w:r>
        <w:rPr>
          <w:b/>
        </w:rPr>
        <w:t xml:space="preserve">The revised result changes the strategic comparison. </w:t>
      </w:r>
      <w:r>
        <w:t>Neighborhood L2 now costs about $322 more per affected driver per year than the optimistic L3 scenario, while L3 still requires roughly 9.4 times fewer shared ports at equal utilization. Cross-curb access is still dramatically cheaper than either public strategy because it eliminates dedicated charging trips entirely.</w:t>
      </w:r>
    </w:p>
    <w:p>
      <w:pPr>
        <w:pStyle w:val="Heading1"/>
      </w:pPr>
      <w:r>
        <w:t>1. Scope and assumptions</w:t>
      </w:r>
    </w:p>
    <w:p>
      <w:r>
        <w:t>This analysis focuses on Alexandria EV owners who lack a driveway or dedicated off-street parking and therefore cannot automatically install conventional home charging. It compares three strategies for meeting their routine annual energy need.</w:t>
      </w:r>
    </w:p>
    <w:tbl>
      <w:tblPr>
        <w:tblStyle w:val="TableGrid"/>
        <w:tblW w:type="auto" w:w="0"/>
        <w:jc w:val="center"/>
        <w:tblLook w:firstColumn="1" w:firstRow="1" w:lastColumn="0" w:lastRow="0" w:noHBand="0" w:noVBand="1" w:val="04A0"/>
      </w:tblPr>
      <w:tblGrid>
        <w:gridCol w:w="2628"/>
        <w:gridCol w:w="2628"/>
        <w:gridCol w:w="2628"/>
        <w:gridCol w:w="2628"/>
      </w:tblGrid>
      <w:tr>
        <w:tc>
          <w:tcPr>
            <w:tcW w:type="dxa" w:w="2628"/>
            <w:vAlign w:val="center"/>
            <w:tcMar>
              <w:top w:w="55" w:type="dxa"/>
              <w:start w:w="75" w:type="dxa"/>
              <w:bottom w:w="55" w:type="dxa"/>
              <w:end w:w="75" w:type="dxa"/>
            </w:tcMar>
            <w:shd w:fill="DCE6F1"/>
          </w:tcPr>
          <w:p>
            <w:pPr>
              <w:spacing w:after="0" w:before="0"/>
            </w:pPr>
            <w:r>
              <w:rPr>
                <w:rFonts w:ascii="Aptos" w:hAnsi="Aptos"/>
                <w:b/>
                <w:sz w:val="16"/>
              </w:rPr>
              <w:t>Input</w:t>
            </w:r>
          </w:p>
        </w:tc>
        <w:tc>
          <w:tcPr>
            <w:tcW w:type="dxa" w:w="2628"/>
            <w:vAlign w:val="center"/>
            <w:tcMar>
              <w:top w:w="55" w:type="dxa"/>
              <w:start w:w="75" w:type="dxa"/>
              <w:bottom w:w="55" w:type="dxa"/>
              <w:end w:w="75" w:type="dxa"/>
            </w:tcMar>
            <w:shd w:fill="DCE6F1"/>
          </w:tcPr>
          <w:p>
            <w:pPr>
              <w:spacing w:after="0" w:before="0"/>
            </w:pPr>
            <w:r>
              <w:rPr>
                <w:rFonts w:ascii="Aptos" w:hAnsi="Aptos"/>
                <w:b/>
                <w:sz w:val="16"/>
              </w:rPr>
              <w:t>Home / cross-curb</w:t>
            </w:r>
          </w:p>
        </w:tc>
        <w:tc>
          <w:tcPr>
            <w:tcW w:type="dxa" w:w="2628"/>
            <w:vAlign w:val="center"/>
            <w:tcMar>
              <w:top w:w="55" w:type="dxa"/>
              <w:start w:w="75" w:type="dxa"/>
              <w:bottom w:w="55" w:type="dxa"/>
              <w:end w:w="75" w:type="dxa"/>
            </w:tcMar>
            <w:shd w:fill="DCE6F1"/>
          </w:tcPr>
          <w:p>
            <w:pPr>
              <w:spacing w:after="0" w:before="0"/>
            </w:pPr>
            <w:r>
              <w:rPr>
                <w:rFonts w:ascii="Aptos" w:hAnsi="Aptos"/>
                <w:b/>
                <w:sz w:val="16"/>
              </w:rPr>
              <w:t>Mature neighborhood L2</w:t>
            </w:r>
          </w:p>
        </w:tc>
        <w:tc>
          <w:tcPr>
            <w:tcW w:type="dxa" w:w="2628"/>
            <w:vAlign w:val="center"/>
            <w:tcMar>
              <w:top w:w="55" w:type="dxa"/>
              <w:start w:w="75" w:type="dxa"/>
              <w:bottom w:w="55" w:type="dxa"/>
              <w:end w:w="75" w:type="dxa"/>
            </w:tcMar>
            <w:shd w:fill="DCE6F1"/>
          </w:tcPr>
          <w:p>
            <w:pPr>
              <w:spacing w:after="0" w:before="0"/>
            </w:pPr>
            <w:r>
              <w:rPr>
                <w:rFonts w:ascii="Aptos" w:hAnsi="Aptos"/>
                <w:b/>
                <w:sz w:val="16"/>
              </w:rPr>
              <w:t>DC fast / L3</w:t>
            </w:r>
          </w:p>
        </w:tc>
      </w:tr>
      <w:tr>
        <w:tc>
          <w:tcPr>
            <w:tcW w:type="dxa" w:w="2628"/>
            <w:vAlign w:val="center"/>
            <w:tcMar>
              <w:top w:w="55" w:type="dxa"/>
              <w:start w:w="75" w:type="dxa"/>
              <w:bottom w:w="55" w:type="dxa"/>
              <w:end w:w="75" w:type="dxa"/>
            </w:tcMar>
          </w:tcPr>
          <w:p>
            <w:pPr>
              <w:spacing w:after="0" w:before="0"/>
            </w:pPr>
            <w:r>
              <w:rPr>
                <w:rFonts w:ascii="Aptos" w:hAnsi="Aptos"/>
                <w:sz w:val="16"/>
              </w:rPr>
              <w:t>Annual driving</w:t>
            </w:r>
          </w:p>
        </w:tc>
        <w:tc>
          <w:tcPr>
            <w:tcW w:type="dxa" w:w="2628"/>
            <w:vAlign w:val="center"/>
            <w:tcMar>
              <w:top w:w="55" w:type="dxa"/>
              <w:start w:w="75" w:type="dxa"/>
              <w:bottom w:w="55" w:type="dxa"/>
              <w:end w:w="75" w:type="dxa"/>
            </w:tcMar>
          </w:tcPr>
          <w:p>
            <w:pPr>
              <w:spacing w:after="0" w:before="0"/>
            </w:pPr>
            <w:r>
              <w:rPr>
                <w:rFonts w:ascii="Aptos" w:hAnsi="Aptos"/>
                <w:sz w:val="16"/>
              </w:rPr>
              <w:t>12,000 mi</w:t>
            </w:r>
          </w:p>
        </w:tc>
        <w:tc>
          <w:tcPr>
            <w:tcW w:type="dxa" w:w="2628"/>
            <w:vAlign w:val="center"/>
            <w:tcMar>
              <w:top w:w="55" w:type="dxa"/>
              <w:start w:w="75" w:type="dxa"/>
              <w:bottom w:w="55" w:type="dxa"/>
              <w:end w:w="75" w:type="dxa"/>
            </w:tcMar>
          </w:tcPr>
          <w:p>
            <w:pPr>
              <w:spacing w:after="0" w:before="0"/>
            </w:pPr>
            <w:r>
              <w:rPr>
                <w:rFonts w:ascii="Aptos" w:hAnsi="Aptos"/>
                <w:sz w:val="16"/>
              </w:rPr>
              <w:t>12,000 mi</w:t>
            </w:r>
          </w:p>
        </w:tc>
        <w:tc>
          <w:tcPr>
            <w:tcW w:type="dxa" w:w="2628"/>
            <w:vAlign w:val="center"/>
            <w:tcMar>
              <w:top w:w="55" w:type="dxa"/>
              <w:start w:w="75" w:type="dxa"/>
              <w:bottom w:w="55" w:type="dxa"/>
              <w:end w:w="75" w:type="dxa"/>
            </w:tcMar>
          </w:tcPr>
          <w:p>
            <w:pPr>
              <w:spacing w:after="0" w:before="0"/>
            </w:pPr>
            <w:r>
              <w:rPr>
                <w:rFonts w:ascii="Aptos" w:hAnsi="Aptos"/>
                <w:sz w:val="16"/>
              </w:rPr>
              <w:t>12,000 mi</w:t>
            </w:r>
          </w:p>
        </w:tc>
      </w:tr>
      <w:tr>
        <w:tc>
          <w:tcPr>
            <w:tcW w:type="dxa" w:w="2628"/>
            <w:vAlign w:val="center"/>
            <w:tcMar>
              <w:top w:w="55" w:type="dxa"/>
              <w:start w:w="75" w:type="dxa"/>
              <w:bottom w:w="55" w:type="dxa"/>
              <w:end w:w="75" w:type="dxa"/>
            </w:tcMar>
          </w:tcPr>
          <w:p>
            <w:pPr>
              <w:spacing w:after="0" w:before="0"/>
            </w:pPr>
            <w:r>
              <w:rPr>
                <w:rFonts w:ascii="Aptos" w:hAnsi="Aptos"/>
                <w:sz w:val="16"/>
              </w:rPr>
              <w:t>Vehicle energy use</w:t>
            </w:r>
          </w:p>
        </w:tc>
        <w:tc>
          <w:tcPr>
            <w:tcW w:type="dxa" w:w="2628"/>
            <w:vAlign w:val="center"/>
            <w:tcMar>
              <w:top w:w="55" w:type="dxa"/>
              <w:start w:w="75" w:type="dxa"/>
              <w:bottom w:w="55" w:type="dxa"/>
              <w:end w:w="75" w:type="dxa"/>
            </w:tcMar>
          </w:tcPr>
          <w:p>
            <w:pPr>
              <w:spacing w:after="0" w:before="0"/>
            </w:pPr>
            <w:r>
              <w:rPr>
                <w:rFonts w:ascii="Aptos" w:hAnsi="Aptos"/>
                <w:sz w:val="16"/>
              </w:rPr>
              <w:t>0.30 kWh/mi</w:t>
            </w:r>
          </w:p>
        </w:tc>
        <w:tc>
          <w:tcPr>
            <w:tcW w:type="dxa" w:w="2628"/>
            <w:vAlign w:val="center"/>
            <w:tcMar>
              <w:top w:w="55" w:type="dxa"/>
              <w:start w:w="75" w:type="dxa"/>
              <w:bottom w:w="55" w:type="dxa"/>
              <w:end w:w="75" w:type="dxa"/>
            </w:tcMar>
          </w:tcPr>
          <w:p>
            <w:pPr>
              <w:spacing w:after="0" w:before="0"/>
            </w:pPr>
            <w:r>
              <w:rPr>
                <w:rFonts w:ascii="Aptos" w:hAnsi="Aptos"/>
                <w:sz w:val="16"/>
              </w:rPr>
              <w:t>0.30 kWh/mi</w:t>
            </w:r>
          </w:p>
        </w:tc>
        <w:tc>
          <w:tcPr>
            <w:tcW w:type="dxa" w:w="2628"/>
            <w:vAlign w:val="center"/>
            <w:tcMar>
              <w:top w:w="55" w:type="dxa"/>
              <w:start w:w="75" w:type="dxa"/>
              <w:bottom w:w="55" w:type="dxa"/>
              <w:end w:w="75" w:type="dxa"/>
            </w:tcMar>
          </w:tcPr>
          <w:p>
            <w:pPr>
              <w:spacing w:after="0" w:before="0"/>
            </w:pPr>
            <w:r>
              <w:rPr>
                <w:rFonts w:ascii="Aptos" w:hAnsi="Aptos"/>
                <w:sz w:val="16"/>
              </w:rPr>
              <w:t>0.30 kWh/mi</w:t>
            </w:r>
          </w:p>
        </w:tc>
      </w:tr>
      <w:tr>
        <w:tc>
          <w:tcPr>
            <w:tcW w:type="dxa" w:w="2628"/>
            <w:vAlign w:val="center"/>
            <w:tcMar>
              <w:top w:w="55" w:type="dxa"/>
              <w:start w:w="75" w:type="dxa"/>
              <w:bottom w:w="55" w:type="dxa"/>
              <w:end w:w="75" w:type="dxa"/>
            </w:tcMar>
          </w:tcPr>
          <w:p>
            <w:pPr>
              <w:spacing w:after="0" w:before="0"/>
            </w:pPr>
            <w:r>
              <w:rPr>
                <w:rFonts w:ascii="Aptos" w:hAnsi="Aptos"/>
                <w:sz w:val="16"/>
              </w:rPr>
              <w:t>Annual energy</w:t>
            </w:r>
          </w:p>
        </w:tc>
        <w:tc>
          <w:tcPr>
            <w:tcW w:type="dxa" w:w="2628"/>
            <w:vAlign w:val="center"/>
            <w:tcMar>
              <w:top w:w="55" w:type="dxa"/>
              <w:start w:w="75" w:type="dxa"/>
              <w:bottom w:w="55" w:type="dxa"/>
              <w:end w:w="75" w:type="dxa"/>
            </w:tcMar>
          </w:tcPr>
          <w:p>
            <w:pPr>
              <w:spacing w:after="0" w:before="0"/>
            </w:pPr>
            <w:r>
              <w:rPr>
                <w:rFonts w:ascii="Aptos" w:hAnsi="Aptos"/>
                <w:sz w:val="16"/>
              </w:rPr>
              <w:t>3,600 kWh</w:t>
            </w:r>
          </w:p>
        </w:tc>
        <w:tc>
          <w:tcPr>
            <w:tcW w:type="dxa" w:w="2628"/>
            <w:vAlign w:val="center"/>
            <w:tcMar>
              <w:top w:w="55" w:type="dxa"/>
              <w:start w:w="75" w:type="dxa"/>
              <w:bottom w:w="55" w:type="dxa"/>
              <w:end w:w="75" w:type="dxa"/>
            </w:tcMar>
          </w:tcPr>
          <w:p>
            <w:pPr>
              <w:spacing w:after="0" w:before="0"/>
            </w:pPr>
            <w:r>
              <w:rPr>
                <w:rFonts w:ascii="Aptos" w:hAnsi="Aptos"/>
                <w:sz w:val="16"/>
              </w:rPr>
              <w:t>3,600 kWh</w:t>
            </w:r>
          </w:p>
        </w:tc>
        <w:tc>
          <w:tcPr>
            <w:tcW w:type="dxa" w:w="2628"/>
            <w:vAlign w:val="center"/>
            <w:tcMar>
              <w:top w:w="55" w:type="dxa"/>
              <w:start w:w="75" w:type="dxa"/>
              <w:bottom w:w="55" w:type="dxa"/>
              <w:end w:w="75" w:type="dxa"/>
            </w:tcMar>
          </w:tcPr>
          <w:p>
            <w:pPr>
              <w:spacing w:after="0" w:before="0"/>
            </w:pPr>
            <w:r>
              <w:rPr>
                <w:rFonts w:ascii="Aptos" w:hAnsi="Aptos"/>
                <w:sz w:val="16"/>
              </w:rPr>
              <w:t>3,600 kWh</w:t>
            </w:r>
          </w:p>
        </w:tc>
      </w:tr>
      <w:tr>
        <w:tc>
          <w:tcPr>
            <w:tcW w:type="dxa" w:w="2628"/>
            <w:vAlign w:val="center"/>
            <w:tcMar>
              <w:top w:w="55" w:type="dxa"/>
              <w:start w:w="75" w:type="dxa"/>
              <w:bottom w:w="55" w:type="dxa"/>
              <w:end w:w="75" w:type="dxa"/>
            </w:tcMar>
          </w:tcPr>
          <w:p>
            <w:pPr>
              <w:spacing w:after="0" w:before="0"/>
            </w:pPr>
            <w:r>
              <w:rPr>
                <w:rFonts w:ascii="Aptos" w:hAnsi="Aptos"/>
                <w:sz w:val="16"/>
              </w:rPr>
              <w:t>Electricity price</w:t>
            </w:r>
          </w:p>
        </w:tc>
        <w:tc>
          <w:tcPr>
            <w:tcW w:type="dxa" w:w="2628"/>
            <w:vAlign w:val="center"/>
            <w:tcMar>
              <w:top w:w="55" w:type="dxa"/>
              <w:start w:w="75" w:type="dxa"/>
              <w:bottom w:w="55" w:type="dxa"/>
              <w:end w:w="75" w:type="dxa"/>
            </w:tcMar>
          </w:tcPr>
          <w:p>
            <w:pPr>
              <w:spacing w:after="0" w:before="0"/>
            </w:pPr>
            <w:r>
              <w:rPr>
                <w:rFonts w:ascii="Aptos" w:hAnsi="Aptos"/>
                <w:sz w:val="16"/>
              </w:rPr>
              <w:t>$0.13/kWh</w:t>
            </w:r>
          </w:p>
        </w:tc>
        <w:tc>
          <w:tcPr>
            <w:tcW w:type="dxa" w:w="2628"/>
            <w:vAlign w:val="center"/>
            <w:tcMar>
              <w:top w:w="55" w:type="dxa"/>
              <w:start w:w="75" w:type="dxa"/>
              <w:bottom w:w="55" w:type="dxa"/>
              <w:end w:w="75" w:type="dxa"/>
            </w:tcMar>
          </w:tcPr>
          <w:p>
            <w:pPr>
              <w:spacing w:after="0" w:before="0"/>
            </w:pPr>
            <w:r>
              <w:rPr>
                <w:rFonts w:ascii="Aptos" w:hAnsi="Aptos"/>
                <w:sz w:val="16"/>
              </w:rPr>
              <w:t>$0.30/kWh</w:t>
            </w:r>
          </w:p>
        </w:tc>
        <w:tc>
          <w:tcPr>
            <w:tcW w:type="dxa" w:w="2628"/>
            <w:vAlign w:val="center"/>
            <w:tcMar>
              <w:top w:w="55" w:type="dxa"/>
              <w:start w:w="75" w:type="dxa"/>
              <w:bottom w:w="55" w:type="dxa"/>
              <w:end w:w="75" w:type="dxa"/>
            </w:tcMar>
          </w:tcPr>
          <w:p>
            <w:pPr>
              <w:spacing w:after="0" w:before="0"/>
            </w:pPr>
            <w:r>
              <w:rPr>
                <w:rFonts w:ascii="Aptos" w:hAnsi="Aptos"/>
                <w:sz w:val="16"/>
              </w:rPr>
              <w:t>$0.40/kWh</w:t>
            </w:r>
          </w:p>
        </w:tc>
      </w:tr>
      <w:tr>
        <w:tc>
          <w:tcPr>
            <w:tcW w:type="dxa" w:w="2628"/>
            <w:vAlign w:val="center"/>
            <w:tcMar>
              <w:top w:w="55" w:type="dxa"/>
              <w:start w:w="75" w:type="dxa"/>
              <w:bottom w:w="55" w:type="dxa"/>
              <w:end w:w="75" w:type="dxa"/>
            </w:tcMar>
          </w:tcPr>
          <w:p>
            <w:pPr>
              <w:spacing w:after="0" w:before="0"/>
            </w:pPr>
            <w:r>
              <w:rPr>
                <w:rFonts w:ascii="Aptos" w:hAnsi="Aptos"/>
                <w:sz w:val="16"/>
              </w:rPr>
              <w:t>Session energy</w:t>
            </w:r>
          </w:p>
        </w:tc>
        <w:tc>
          <w:tcPr>
            <w:tcW w:type="dxa" w:w="2628"/>
            <w:vAlign w:val="center"/>
            <w:tcMar>
              <w:top w:w="55" w:type="dxa"/>
              <w:start w:w="75" w:type="dxa"/>
              <w:bottom w:w="55" w:type="dxa"/>
              <w:end w:w="75" w:type="dxa"/>
            </w:tcMar>
          </w:tcPr>
          <w:p>
            <w:pPr>
              <w:spacing w:after="0" w:before="0"/>
            </w:pPr>
            <w:r>
              <w:rPr>
                <w:rFonts w:ascii="Aptos" w:hAnsi="Aptos"/>
                <w:sz w:val="16"/>
              </w:rPr>
              <w:t>As needed</w:t>
            </w:r>
          </w:p>
        </w:tc>
        <w:tc>
          <w:tcPr>
            <w:tcW w:type="dxa" w:w="2628"/>
            <w:vAlign w:val="center"/>
            <w:tcMar>
              <w:top w:w="55" w:type="dxa"/>
              <w:start w:w="75" w:type="dxa"/>
              <w:bottom w:w="55" w:type="dxa"/>
              <w:end w:w="75" w:type="dxa"/>
            </w:tcMar>
          </w:tcPr>
          <w:p>
            <w:pPr>
              <w:spacing w:after="0" w:before="0"/>
            </w:pPr>
            <w:r>
              <w:rPr>
                <w:rFonts w:ascii="Aptos" w:hAnsi="Aptos"/>
                <w:sz w:val="16"/>
              </w:rPr>
              <w:t>28.8 kWh</w:t>
            </w:r>
          </w:p>
        </w:tc>
        <w:tc>
          <w:tcPr>
            <w:tcW w:type="dxa" w:w="2628"/>
            <w:vAlign w:val="center"/>
            <w:tcMar>
              <w:top w:w="55" w:type="dxa"/>
              <w:start w:w="75" w:type="dxa"/>
              <w:bottom w:w="55" w:type="dxa"/>
              <w:end w:w="75" w:type="dxa"/>
            </w:tcMar>
          </w:tcPr>
          <w:p>
            <w:pPr>
              <w:spacing w:after="0" w:before="0"/>
            </w:pPr>
            <w:r>
              <w:rPr>
                <w:rFonts w:ascii="Aptos" w:hAnsi="Aptos"/>
                <w:sz w:val="16"/>
              </w:rPr>
              <w:t>45 kWh</w:t>
            </w:r>
          </w:p>
        </w:tc>
      </w:tr>
      <w:tr>
        <w:tc>
          <w:tcPr>
            <w:tcW w:type="dxa" w:w="2628"/>
            <w:vAlign w:val="center"/>
            <w:tcMar>
              <w:top w:w="55" w:type="dxa"/>
              <w:start w:w="75" w:type="dxa"/>
              <w:bottom w:w="55" w:type="dxa"/>
              <w:end w:w="75" w:type="dxa"/>
            </w:tcMar>
          </w:tcPr>
          <w:p>
            <w:pPr>
              <w:spacing w:after="0" w:before="0"/>
            </w:pPr>
            <w:r>
              <w:rPr>
                <w:rFonts w:ascii="Aptos" w:hAnsi="Aptos"/>
                <w:sz w:val="16"/>
              </w:rPr>
              <w:t>Successful sessions/year</w:t>
            </w:r>
          </w:p>
        </w:tc>
        <w:tc>
          <w:tcPr>
            <w:tcW w:type="dxa" w:w="2628"/>
            <w:vAlign w:val="center"/>
            <w:tcMar>
              <w:top w:w="55" w:type="dxa"/>
              <w:start w:w="75" w:type="dxa"/>
              <w:bottom w:w="55" w:type="dxa"/>
              <w:end w:w="75" w:type="dxa"/>
            </w:tcMar>
          </w:tcPr>
          <w:p>
            <w:pPr>
              <w:spacing w:after="0" w:before="0"/>
            </w:pPr>
            <w:r>
              <w:rPr>
                <w:rFonts w:ascii="Aptos" w:hAnsi="Aptos"/>
                <w:sz w:val="16"/>
              </w:rPr>
              <w:t>Not modeled</w:t>
            </w:r>
          </w:p>
        </w:tc>
        <w:tc>
          <w:tcPr>
            <w:tcW w:type="dxa" w:w="2628"/>
            <w:vAlign w:val="center"/>
            <w:tcMar>
              <w:top w:w="55" w:type="dxa"/>
              <w:start w:w="75" w:type="dxa"/>
              <w:bottom w:w="55" w:type="dxa"/>
              <w:end w:w="75" w:type="dxa"/>
            </w:tcMar>
          </w:tcPr>
          <w:p>
            <w:pPr>
              <w:spacing w:after="0" w:before="0"/>
            </w:pPr>
            <w:r>
              <w:rPr>
                <w:rFonts w:ascii="Aptos" w:hAnsi="Aptos"/>
                <w:sz w:val="16"/>
              </w:rPr>
              <w:t>125</w:t>
            </w:r>
          </w:p>
        </w:tc>
        <w:tc>
          <w:tcPr>
            <w:tcW w:type="dxa" w:w="2628"/>
            <w:vAlign w:val="center"/>
            <w:tcMar>
              <w:top w:w="55" w:type="dxa"/>
              <w:start w:w="75" w:type="dxa"/>
              <w:bottom w:w="55" w:type="dxa"/>
              <w:end w:w="75" w:type="dxa"/>
            </w:tcMar>
          </w:tcPr>
          <w:p>
            <w:pPr>
              <w:spacing w:after="0" w:before="0"/>
            </w:pPr>
            <w:r>
              <w:rPr>
                <w:rFonts w:ascii="Aptos" w:hAnsi="Aptos"/>
                <w:sz w:val="16"/>
              </w:rPr>
              <w:t>80</w:t>
            </w:r>
          </w:p>
        </w:tc>
      </w:tr>
      <w:tr>
        <w:tc>
          <w:tcPr>
            <w:tcW w:type="dxa" w:w="2628"/>
            <w:vAlign w:val="center"/>
            <w:tcMar>
              <w:top w:w="55" w:type="dxa"/>
              <w:start w:w="75" w:type="dxa"/>
              <w:bottom w:w="55" w:type="dxa"/>
              <w:end w:w="75" w:type="dxa"/>
            </w:tcMar>
          </w:tcPr>
          <w:p>
            <w:pPr>
              <w:spacing w:after="0" w:before="0"/>
            </w:pPr>
            <w:r>
              <w:rPr>
                <w:rFonts w:ascii="Aptos" w:hAnsi="Aptos"/>
                <w:sz w:val="16"/>
              </w:rPr>
              <w:t>Successful-trip travel</w:t>
            </w:r>
          </w:p>
        </w:tc>
        <w:tc>
          <w:tcPr>
            <w:tcW w:type="dxa" w:w="2628"/>
            <w:vAlign w:val="center"/>
            <w:tcMar>
              <w:top w:w="55" w:type="dxa"/>
              <w:start w:w="75" w:type="dxa"/>
              <w:bottom w:w="55" w:type="dxa"/>
              <w:end w:w="75" w:type="dxa"/>
            </w:tcMar>
          </w:tcPr>
          <w:p>
            <w:pPr>
              <w:spacing w:after="0" w:before="0"/>
            </w:pPr>
            <w:r>
              <w:rPr>
                <w:rFonts w:ascii="Aptos" w:hAnsi="Aptos"/>
                <w:sz w:val="16"/>
              </w:rPr>
              <w:t>0</w:t>
            </w:r>
          </w:p>
        </w:tc>
        <w:tc>
          <w:tcPr>
            <w:tcW w:type="dxa" w:w="2628"/>
            <w:vAlign w:val="center"/>
            <w:tcMar>
              <w:top w:w="55" w:type="dxa"/>
              <w:start w:w="75" w:type="dxa"/>
              <w:bottom w:w="55" w:type="dxa"/>
              <w:end w:w="75" w:type="dxa"/>
            </w:tcMar>
          </w:tcPr>
          <w:p>
            <w:pPr>
              <w:spacing w:after="0" w:before="0"/>
            </w:pPr>
            <w:r>
              <w:rPr>
                <w:rFonts w:ascii="Aptos" w:hAnsi="Aptos"/>
                <w:sz w:val="16"/>
              </w:rPr>
              <w:t>15 min each way</w:t>
            </w:r>
          </w:p>
        </w:tc>
        <w:tc>
          <w:tcPr>
            <w:tcW w:type="dxa" w:w="2628"/>
            <w:vAlign w:val="center"/>
            <w:tcMar>
              <w:top w:w="55" w:type="dxa"/>
              <w:start w:w="75" w:type="dxa"/>
              <w:bottom w:w="55" w:type="dxa"/>
              <w:end w:w="75" w:type="dxa"/>
            </w:tcMar>
          </w:tcPr>
          <w:p>
            <w:pPr>
              <w:spacing w:after="0" w:before="0"/>
            </w:pPr>
            <w:r>
              <w:rPr>
                <w:rFonts w:ascii="Aptos" w:hAnsi="Aptos"/>
                <w:sz w:val="16"/>
              </w:rPr>
              <w:t>10 min each way</w:t>
            </w:r>
          </w:p>
        </w:tc>
      </w:tr>
      <w:tr>
        <w:tc>
          <w:tcPr>
            <w:tcW w:type="dxa" w:w="2628"/>
            <w:vAlign w:val="center"/>
            <w:tcMar>
              <w:top w:w="55" w:type="dxa"/>
              <w:start w:w="75" w:type="dxa"/>
              <w:bottom w:w="55" w:type="dxa"/>
              <w:end w:w="75" w:type="dxa"/>
            </w:tcMar>
          </w:tcPr>
          <w:p>
            <w:pPr>
              <w:spacing w:after="0" w:before="0"/>
            </w:pPr>
            <w:r>
              <w:rPr>
                <w:rFonts w:ascii="Aptos" w:hAnsi="Aptos"/>
                <w:sz w:val="16"/>
              </w:rPr>
              <w:t>Charging dwell</w:t>
            </w:r>
          </w:p>
        </w:tc>
        <w:tc>
          <w:tcPr>
            <w:tcW w:type="dxa" w:w="2628"/>
            <w:vAlign w:val="center"/>
            <w:tcMar>
              <w:top w:w="55" w:type="dxa"/>
              <w:start w:w="75" w:type="dxa"/>
              <w:bottom w:w="55" w:type="dxa"/>
              <w:end w:w="75" w:type="dxa"/>
            </w:tcMar>
          </w:tcPr>
          <w:p>
            <w:pPr>
              <w:spacing w:after="0" w:before="0"/>
            </w:pPr>
            <w:r>
              <w:rPr>
                <w:rFonts w:ascii="Aptos" w:hAnsi="Aptos"/>
                <w:sz w:val="16"/>
              </w:rPr>
              <w:t>While parked at home</w:t>
            </w:r>
          </w:p>
        </w:tc>
        <w:tc>
          <w:tcPr>
            <w:tcW w:type="dxa" w:w="2628"/>
            <w:vAlign w:val="center"/>
            <w:tcMar>
              <w:top w:w="55" w:type="dxa"/>
              <w:start w:w="75" w:type="dxa"/>
              <w:bottom w:w="55" w:type="dxa"/>
              <w:end w:w="75" w:type="dxa"/>
            </w:tcMar>
          </w:tcPr>
          <w:p>
            <w:pPr>
              <w:spacing w:after="0" w:before="0"/>
            </w:pPr>
            <w:r>
              <w:rPr>
                <w:rFonts w:ascii="Aptos" w:hAnsi="Aptos"/>
                <w:sz w:val="16"/>
              </w:rPr>
              <w:t>3 hours, 100% productive</w:t>
            </w:r>
          </w:p>
        </w:tc>
        <w:tc>
          <w:tcPr>
            <w:tcW w:type="dxa" w:w="2628"/>
            <w:vAlign w:val="center"/>
            <w:tcMar>
              <w:top w:w="55" w:type="dxa"/>
              <w:start w:w="75" w:type="dxa"/>
              <w:bottom w:w="55" w:type="dxa"/>
              <w:end w:w="75" w:type="dxa"/>
            </w:tcMar>
          </w:tcPr>
          <w:p>
            <w:pPr>
              <w:spacing w:after="0" w:before="0"/>
            </w:pPr>
            <w:r>
              <w:rPr>
                <w:rFonts w:ascii="Aptos" w:hAnsi="Aptos"/>
                <w:sz w:val="16"/>
              </w:rPr>
              <w:t>30 minutes, nonproductive</w:t>
            </w:r>
          </w:p>
        </w:tc>
      </w:tr>
      <w:tr>
        <w:tc>
          <w:tcPr>
            <w:tcW w:type="dxa" w:w="2628"/>
            <w:vAlign w:val="center"/>
            <w:tcMar>
              <w:top w:w="55" w:type="dxa"/>
              <w:start w:w="75" w:type="dxa"/>
              <w:bottom w:w="55" w:type="dxa"/>
              <w:end w:w="75" w:type="dxa"/>
            </w:tcMar>
          </w:tcPr>
          <w:p>
            <w:pPr>
              <w:spacing w:after="0" w:before="0"/>
            </w:pPr>
            <w:r>
              <w:rPr>
                <w:rFonts w:ascii="Aptos" w:hAnsi="Aptos"/>
                <w:sz w:val="16"/>
              </w:rPr>
              <w:t>Failure / unavailability</w:t>
            </w:r>
          </w:p>
        </w:tc>
        <w:tc>
          <w:tcPr>
            <w:tcW w:type="dxa" w:w="2628"/>
            <w:vAlign w:val="center"/>
            <w:tcMar>
              <w:top w:w="55" w:type="dxa"/>
              <w:start w:w="75" w:type="dxa"/>
              <w:bottom w:w="55" w:type="dxa"/>
              <w:end w:w="75" w:type="dxa"/>
            </w:tcMar>
          </w:tcPr>
          <w:p>
            <w:pPr>
              <w:spacing w:after="0" w:before="0"/>
            </w:pPr>
            <w:r>
              <w:rPr>
                <w:rFonts w:ascii="Aptos" w:hAnsi="Aptos"/>
                <w:sz w:val="16"/>
              </w:rPr>
              <w:t>At home</w:t>
            </w:r>
          </w:p>
        </w:tc>
        <w:tc>
          <w:tcPr>
            <w:tcW w:type="dxa" w:w="2628"/>
            <w:vAlign w:val="center"/>
            <w:tcMar>
              <w:top w:w="55" w:type="dxa"/>
              <w:start w:w="75" w:type="dxa"/>
              <w:bottom w:w="55" w:type="dxa"/>
              <w:end w:w="75" w:type="dxa"/>
            </w:tcMar>
          </w:tcPr>
          <w:p>
            <w:pPr>
              <w:spacing w:after="0" w:before="0"/>
            </w:pPr>
            <w:r>
              <w:rPr>
                <w:rFonts w:ascii="Aptos" w:hAnsi="Aptos"/>
                <w:sz w:val="16"/>
              </w:rPr>
              <w:t>20% per attempt</w:t>
            </w:r>
          </w:p>
        </w:tc>
        <w:tc>
          <w:tcPr>
            <w:tcW w:type="dxa" w:w="2628"/>
            <w:vAlign w:val="center"/>
            <w:tcMar>
              <w:top w:w="55" w:type="dxa"/>
              <w:start w:w="75" w:type="dxa"/>
              <w:bottom w:w="55" w:type="dxa"/>
              <w:end w:w="75" w:type="dxa"/>
            </w:tcMar>
          </w:tcPr>
          <w:p>
            <w:pPr>
              <w:spacing w:after="0" w:before="0"/>
            </w:pPr>
            <w:r>
              <w:rPr>
                <w:rFonts w:ascii="Aptos" w:hAnsi="Aptos"/>
                <w:sz w:val="16"/>
              </w:rPr>
              <w:t>Assumed 0%</w:t>
            </w:r>
          </w:p>
        </w:tc>
      </w:tr>
      <w:tr>
        <w:tc>
          <w:tcPr>
            <w:tcW w:type="dxa" w:w="2628"/>
            <w:vAlign w:val="center"/>
            <w:tcMar>
              <w:top w:w="55" w:type="dxa"/>
              <w:start w:w="75" w:type="dxa"/>
              <w:bottom w:w="55" w:type="dxa"/>
              <w:end w:w="75" w:type="dxa"/>
            </w:tcMar>
          </w:tcPr>
          <w:p>
            <w:pPr>
              <w:spacing w:after="0" w:before="0"/>
            </w:pPr>
            <w:r>
              <w:rPr>
                <w:rFonts w:ascii="Aptos" w:hAnsi="Aptos"/>
                <w:sz w:val="16"/>
              </w:rPr>
              <w:t>Expected failed L2 attempts</w:t>
            </w:r>
          </w:p>
        </w:tc>
        <w:tc>
          <w:tcPr>
            <w:tcW w:type="dxa" w:w="2628"/>
            <w:vAlign w:val="center"/>
            <w:tcMar>
              <w:top w:w="55" w:type="dxa"/>
              <w:start w:w="75" w:type="dxa"/>
              <w:bottom w:w="55" w:type="dxa"/>
              <w:end w:w="75" w:type="dxa"/>
            </w:tcMar>
          </w:tcPr>
          <w:p>
            <w:pPr>
              <w:spacing w:after="0" w:before="0"/>
            </w:pPr>
            <w:r>
              <w:rPr>
                <w:rFonts w:ascii="Aptos" w:hAnsi="Aptos"/>
                <w:sz w:val="16"/>
              </w:rPr>
              <w:t>n/a</w:t>
            </w:r>
          </w:p>
        </w:tc>
        <w:tc>
          <w:tcPr>
            <w:tcW w:type="dxa" w:w="2628"/>
            <w:vAlign w:val="center"/>
            <w:tcMar>
              <w:top w:w="55" w:type="dxa"/>
              <w:start w:w="75" w:type="dxa"/>
              <w:bottom w:w="55" w:type="dxa"/>
              <w:end w:w="75" w:type="dxa"/>
            </w:tcMar>
          </w:tcPr>
          <w:p>
            <w:pPr>
              <w:spacing w:after="0" w:before="0"/>
            </w:pPr>
            <w:r>
              <w:rPr>
                <w:rFonts w:ascii="Aptos" w:hAnsi="Aptos"/>
                <w:sz w:val="16"/>
              </w:rPr>
              <w:t>31.3/yr</w:t>
            </w:r>
          </w:p>
        </w:tc>
        <w:tc>
          <w:tcPr>
            <w:tcW w:type="dxa" w:w="2628"/>
            <w:vAlign w:val="center"/>
            <w:tcMar>
              <w:top w:w="55" w:type="dxa"/>
              <w:start w:w="75" w:type="dxa"/>
              <w:bottom w:w="55" w:type="dxa"/>
              <w:end w:w="75" w:type="dxa"/>
            </w:tcMar>
          </w:tcPr>
          <w:p>
            <w:pPr>
              <w:spacing w:after="0" w:before="0"/>
            </w:pPr>
            <w:r>
              <w:rPr>
                <w:rFonts w:ascii="Aptos" w:hAnsi="Aptos"/>
                <w:sz w:val="16"/>
              </w:rPr>
              <w:t>n/a</w:t>
            </w:r>
          </w:p>
        </w:tc>
      </w:tr>
      <w:tr>
        <w:tc>
          <w:tcPr>
            <w:tcW w:type="dxa" w:w="2628"/>
            <w:vAlign w:val="center"/>
            <w:tcMar>
              <w:top w:w="55" w:type="dxa"/>
              <w:start w:w="75" w:type="dxa"/>
              <w:bottom w:w="55" w:type="dxa"/>
              <w:end w:w="75" w:type="dxa"/>
            </w:tcMar>
          </w:tcPr>
          <w:p>
            <w:pPr>
              <w:spacing w:after="0" w:before="0"/>
            </w:pPr>
            <w:r>
              <w:rPr>
                <w:rFonts w:ascii="Aptos" w:hAnsi="Aptos"/>
                <w:sz w:val="16"/>
              </w:rPr>
              <w:t>Value of time</w:t>
            </w:r>
          </w:p>
        </w:tc>
        <w:tc>
          <w:tcPr>
            <w:tcW w:type="dxa" w:w="2628"/>
            <w:vAlign w:val="center"/>
            <w:tcMar>
              <w:top w:w="55" w:type="dxa"/>
              <w:start w:w="75" w:type="dxa"/>
              <w:bottom w:w="55" w:type="dxa"/>
              <w:end w:w="75" w:type="dxa"/>
            </w:tcMar>
          </w:tcPr>
          <w:p>
            <w:pPr>
              <w:spacing w:after="0" w:before="0"/>
            </w:pPr>
            <w:r>
              <w:rPr>
                <w:rFonts w:ascii="Aptos" w:hAnsi="Aptos"/>
                <w:sz w:val="16"/>
              </w:rPr>
              <w:t>$59.54/hr</w:t>
            </w:r>
          </w:p>
        </w:tc>
        <w:tc>
          <w:tcPr>
            <w:tcW w:type="dxa" w:w="2628"/>
            <w:vAlign w:val="center"/>
            <w:tcMar>
              <w:top w:w="55" w:type="dxa"/>
              <w:start w:w="75" w:type="dxa"/>
              <w:bottom w:w="55" w:type="dxa"/>
              <w:end w:w="75" w:type="dxa"/>
            </w:tcMar>
          </w:tcPr>
          <w:p>
            <w:pPr>
              <w:spacing w:after="0" w:before="0"/>
            </w:pPr>
            <w:r>
              <w:rPr>
                <w:rFonts w:ascii="Aptos" w:hAnsi="Aptos"/>
                <w:sz w:val="16"/>
              </w:rPr>
              <w:t>$59.54/hr</w:t>
            </w:r>
          </w:p>
        </w:tc>
        <w:tc>
          <w:tcPr>
            <w:tcW w:type="dxa" w:w="2628"/>
            <w:vAlign w:val="center"/>
            <w:tcMar>
              <w:top w:w="55" w:type="dxa"/>
              <w:start w:w="75" w:type="dxa"/>
              <w:bottom w:w="55" w:type="dxa"/>
              <w:end w:w="75" w:type="dxa"/>
            </w:tcMar>
          </w:tcPr>
          <w:p>
            <w:pPr>
              <w:spacing w:after="0" w:before="0"/>
            </w:pPr>
            <w:r>
              <w:rPr>
                <w:rFonts w:ascii="Aptos" w:hAnsi="Aptos"/>
                <w:sz w:val="16"/>
              </w:rPr>
              <w:t>$59.54/hr</w:t>
            </w:r>
          </w:p>
        </w:tc>
      </w:tr>
    </w:tbl>
    <w:p>
      <w:r>
        <w:rPr>
          <w:b/>
        </w:rPr>
        <w:t xml:space="preserve">The L2 scenario is intended to represent a mature, relatively dense network. </w:t>
      </w:r>
      <w:r>
        <w:t>A resident can reach a charger in 15 minutes, park, and walk home or to work, so the entire three-hour dwell is treated as productive. The 20% failure rate captures a charger being occupied or unavailable. As in the companion paper, expected failed attempts are calculated as successful sessions multiplied by failure probability divided by success probability.</w:t>
      </w:r>
    </w:p>
    <w:p>
      <w:pPr>
        <w:pStyle w:val="Heading1"/>
      </w:pPr>
      <w:r>
        <w:t>2. Annual cost to an EV owner without a driveway</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55" w:type="dxa"/>
              <w:start w:w="75" w:type="dxa"/>
              <w:bottom w:w="55" w:type="dxa"/>
              <w:end w:w="75" w:type="dxa"/>
            </w:tcMar>
            <w:shd w:fill="DCE6F1"/>
          </w:tcPr>
          <w:p>
            <w:pPr>
              <w:spacing w:after="0" w:before="0"/>
            </w:pPr>
            <w:r>
              <w:rPr>
                <w:rFonts w:ascii="Aptos" w:hAnsi="Aptos"/>
                <w:b/>
                <w:sz w:val="16"/>
              </w:rPr>
              <w:t>Strategy</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Electricity</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Nonproductive time</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Time cost</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Other annual cost</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Total burden</w:t>
            </w:r>
          </w:p>
        </w:tc>
      </w:tr>
      <w:tr>
        <w:tc>
          <w:tcPr>
            <w:tcW w:type="dxa" w:w="1752"/>
            <w:vAlign w:val="center"/>
            <w:tcMar>
              <w:top w:w="55" w:type="dxa"/>
              <w:start w:w="75" w:type="dxa"/>
              <w:bottom w:w="55" w:type="dxa"/>
              <w:end w:w="75" w:type="dxa"/>
            </w:tcMar>
          </w:tcPr>
          <w:p>
            <w:pPr>
              <w:spacing w:after="0" w:before="0"/>
            </w:pPr>
            <w:r>
              <w:rPr>
                <w:rFonts w:ascii="Aptos" w:hAnsi="Aptos"/>
                <w:sz w:val="16"/>
              </w:rPr>
              <w:t>Home / cross-curb</w:t>
            </w:r>
          </w:p>
        </w:tc>
        <w:tc>
          <w:tcPr>
            <w:tcW w:type="dxa" w:w="1752"/>
            <w:vAlign w:val="center"/>
            <w:tcMar>
              <w:top w:w="55" w:type="dxa"/>
              <w:start w:w="75" w:type="dxa"/>
              <w:bottom w:w="55" w:type="dxa"/>
              <w:end w:w="75" w:type="dxa"/>
            </w:tcMar>
          </w:tcPr>
          <w:p>
            <w:pPr>
              <w:spacing w:after="0" w:before="0"/>
            </w:pPr>
            <w:r>
              <w:rPr>
                <w:rFonts w:ascii="Aptos" w:hAnsi="Aptos"/>
                <w:sz w:val="16"/>
              </w:rPr>
              <w:t>$468</w:t>
            </w:r>
          </w:p>
        </w:tc>
        <w:tc>
          <w:tcPr>
            <w:tcW w:type="dxa" w:w="1752"/>
            <w:vAlign w:val="center"/>
            <w:tcMar>
              <w:top w:w="55" w:type="dxa"/>
              <w:start w:w="75" w:type="dxa"/>
              <w:bottom w:w="55" w:type="dxa"/>
              <w:end w:w="75" w:type="dxa"/>
            </w:tcMar>
          </w:tcPr>
          <w:p>
            <w:pPr>
              <w:spacing w:after="0" w:before="0"/>
            </w:pPr>
            <w:r>
              <w:rPr>
                <w:rFonts w:ascii="Aptos" w:hAnsi="Aptos"/>
                <w:sz w:val="16"/>
              </w:rPr>
              <w:t>0.0 hr</w:t>
            </w:r>
          </w:p>
        </w:tc>
        <w:tc>
          <w:tcPr>
            <w:tcW w:type="dxa" w:w="1752"/>
            <w:vAlign w:val="center"/>
            <w:tcMar>
              <w:top w:w="55" w:type="dxa"/>
              <w:start w:w="75" w:type="dxa"/>
              <w:bottom w:w="55" w:type="dxa"/>
              <w:end w:w="75" w:type="dxa"/>
            </w:tcMar>
          </w:tcPr>
          <w:p>
            <w:pPr>
              <w:spacing w:after="0" w:before="0"/>
            </w:pPr>
            <w:r>
              <w:rPr>
                <w:rFonts w:ascii="Aptos" w:hAnsi="Aptos"/>
                <w:sz w:val="16"/>
              </w:rPr>
              <w:t>$0</w:t>
            </w:r>
          </w:p>
        </w:tc>
        <w:tc>
          <w:tcPr>
            <w:tcW w:type="dxa" w:w="1752"/>
            <w:vAlign w:val="center"/>
            <w:tcMar>
              <w:top w:w="55" w:type="dxa"/>
              <w:start w:w="75" w:type="dxa"/>
              <w:bottom w:w="55" w:type="dxa"/>
              <w:end w:w="75" w:type="dxa"/>
            </w:tcMar>
          </w:tcPr>
          <w:p>
            <w:pPr>
              <w:spacing w:after="0" w:before="0"/>
            </w:pPr>
            <w:r>
              <w:rPr>
                <w:rFonts w:ascii="Aptos" w:hAnsi="Aptos"/>
                <w:sz w:val="16"/>
              </w:rPr>
              <w:t>$660</w:t>
            </w:r>
          </w:p>
        </w:tc>
        <w:tc>
          <w:tcPr>
            <w:tcW w:type="dxa" w:w="1752"/>
            <w:vAlign w:val="center"/>
            <w:tcMar>
              <w:top w:w="55" w:type="dxa"/>
              <w:start w:w="75" w:type="dxa"/>
              <w:bottom w:w="55" w:type="dxa"/>
              <w:end w:w="75" w:type="dxa"/>
            </w:tcMar>
          </w:tcPr>
          <w:p>
            <w:pPr>
              <w:spacing w:after="0" w:before="0"/>
            </w:pPr>
            <w:r>
              <w:rPr>
                <w:rFonts w:ascii="Aptos" w:hAnsi="Aptos"/>
                <w:sz w:val="16"/>
              </w:rPr>
              <w:t>$1,128</w:t>
            </w:r>
          </w:p>
        </w:tc>
      </w:tr>
      <w:tr>
        <w:tc>
          <w:tcPr>
            <w:tcW w:type="dxa" w:w="1752"/>
            <w:vAlign w:val="center"/>
            <w:tcMar>
              <w:top w:w="55" w:type="dxa"/>
              <w:start w:w="75" w:type="dxa"/>
              <w:bottom w:w="55" w:type="dxa"/>
              <w:end w:w="75" w:type="dxa"/>
            </w:tcMar>
          </w:tcPr>
          <w:p>
            <w:pPr>
              <w:spacing w:after="0" w:before="0"/>
            </w:pPr>
            <w:r>
              <w:rPr>
                <w:rFonts w:ascii="Aptos" w:hAnsi="Aptos"/>
                <w:sz w:val="16"/>
              </w:rPr>
              <w:t>Mature neighborhood L2</w:t>
            </w:r>
          </w:p>
        </w:tc>
        <w:tc>
          <w:tcPr>
            <w:tcW w:type="dxa" w:w="1752"/>
            <w:vAlign w:val="center"/>
            <w:tcMar>
              <w:top w:w="55" w:type="dxa"/>
              <w:start w:w="75" w:type="dxa"/>
              <w:bottom w:w="55" w:type="dxa"/>
              <w:end w:w="75" w:type="dxa"/>
            </w:tcMar>
          </w:tcPr>
          <w:p>
            <w:pPr>
              <w:spacing w:after="0" w:before="0"/>
            </w:pPr>
            <w:r>
              <w:rPr>
                <w:rFonts w:ascii="Aptos" w:hAnsi="Aptos"/>
                <w:sz w:val="16"/>
              </w:rPr>
              <w:t>$1,080</w:t>
            </w:r>
          </w:p>
        </w:tc>
        <w:tc>
          <w:tcPr>
            <w:tcW w:type="dxa" w:w="1752"/>
            <w:vAlign w:val="center"/>
            <w:tcMar>
              <w:top w:w="55" w:type="dxa"/>
              <w:start w:w="75" w:type="dxa"/>
              <w:bottom w:w="55" w:type="dxa"/>
              <w:end w:w="75" w:type="dxa"/>
            </w:tcMar>
          </w:tcPr>
          <w:p>
            <w:pPr>
              <w:spacing w:after="0" w:before="0"/>
            </w:pPr>
            <w:r>
              <w:rPr>
                <w:rFonts w:ascii="Aptos" w:hAnsi="Aptos"/>
                <w:sz w:val="16"/>
              </w:rPr>
              <w:t>78.1 hr</w:t>
            </w:r>
          </w:p>
        </w:tc>
        <w:tc>
          <w:tcPr>
            <w:tcW w:type="dxa" w:w="1752"/>
            <w:vAlign w:val="center"/>
            <w:tcMar>
              <w:top w:w="55" w:type="dxa"/>
              <w:start w:w="75" w:type="dxa"/>
              <w:bottom w:w="55" w:type="dxa"/>
              <w:end w:w="75" w:type="dxa"/>
            </w:tcMar>
          </w:tcPr>
          <w:p>
            <w:pPr>
              <w:spacing w:after="0" w:before="0"/>
            </w:pPr>
            <w:r>
              <w:rPr>
                <w:rFonts w:ascii="Aptos" w:hAnsi="Aptos"/>
                <w:sz w:val="16"/>
              </w:rPr>
              <w:t>$4,652</w:t>
            </w:r>
          </w:p>
        </w:tc>
        <w:tc>
          <w:tcPr>
            <w:tcW w:type="dxa" w:w="1752"/>
            <w:vAlign w:val="center"/>
            <w:tcMar>
              <w:top w:w="55" w:type="dxa"/>
              <w:start w:w="75" w:type="dxa"/>
              <w:bottom w:w="55" w:type="dxa"/>
              <w:end w:w="75" w:type="dxa"/>
            </w:tcMar>
          </w:tcPr>
          <w:p>
            <w:pPr>
              <w:spacing w:after="0" w:before="0"/>
            </w:pPr>
            <w:r>
              <w:rPr>
                <w:rFonts w:ascii="Aptos" w:hAnsi="Aptos"/>
                <w:sz w:val="16"/>
              </w:rPr>
              <w:t>$0</w:t>
            </w:r>
          </w:p>
        </w:tc>
        <w:tc>
          <w:tcPr>
            <w:tcW w:type="dxa" w:w="1752"/>
            <w:vAlign w:val="center"/>
            <w:tcMar>
              <w:top w:w="55" w:type="dxa"/>
              <w:start w:w="75" w:type="dxa"/>
              <w:bottom w:w="55" w:type="dxa"/>
              <w:end w:w="75" w:type="dxa"/>
            </w:tcMar>
          </w:tcPr>
          <w:p>
            <w:pPr>
              <w:spacing w:after="0" w:before="0"/>
            </w:pPr>
            <w:r>
              <w:rPr>
                <w:rFonts w:ascii="Aptos" w:hAnsi="Aptos"/>
                <w:sz w:val="16"/>
              </w:rPr>
              <w:t>$5,732</w:t>
            </w:r>
          </w:p>
        </w:tc>
      </w:tr>
      <w:tr>
        <w:tc>
          <w:tcPr>
            <w:tcW w:type="dxa" w:w="1752"/>
            <w:vAlign w:val="center"/>
            <w:tcMar>
              <w:top w:w="55" w:type="dxa"/>
              <w:start w:w="75" w:type="dxa"/>
              <w:bottom w:w="55" w:type="dxa"/>
              <w:end w:w="75" w:type="dxa"/>
            </w:tcMar>
          </w:tcPr>
          <w:p>
            <w:pPr>
              <w:spacing w:after="0" w:before="0"/>
            </w:pPr>
            <w:r>
              <w:rPr>
                <w:rFonts w:ascii="Aptos" w:hAnsi="Aptos"/>
                <w:sz w:val="16"/>
              </w:rPr>
              <w:t>Optimistic L3</w:t>
            </w:r>
          </w:p>
        </w:tc>
        <w:tc>
          <w:tcPr>
            <w:tcW w:type="dxa" w:w="1752"/>
            <w:vAlign w:val="center"/>
            <w:tcMar>
              <w:top w:w="55" w:type="dxa"/>
              <w:start w:w="75" w:type="dxa"/>
              <w:bottom w:w="55" w:type="dxa"/>
              <w:end w:w="75" w:type="dxa"/>
            </w:tcMar>
          </w:tcPr>
          <w:p>
            <w:pPr>
              <w:spacing w:after="0" w:before="0"/>
            </w:pPr>
            <w:r>
              <w:rPr>
                <w:rFonts w:ascii="Aptos" w:hAnsi="Aptos"/>
                <w:sz w:val="16"/>
              </w:rPr>
              <w:t>$1,440</w:t>
            </w:r>
          </w:p>
        </w:tc>
        <w:tc>
          <w:tcPr>
            <w:tcW w:type="dxa" w:w="1752"/>
            <w:vAlign w:val="center"/>
            <w:tcMar>
              <w:top w:w="55" w:type="dxa"/>
              <w:start w:w="75" w:type="dxa"/>
              <w:bottom w:w="55" w:type="dxa"/>
              <w:end w:w="75" w:type="dxa"/>
            </w:tcMar>
          </w:tcPr>
          <w:p>
            <w:pPr>
              <w:spacing w:after="0" w:before="0"/>
            </w:pPr>
            <w:r>
              <w:rPr>
                <w:rFonts w:ascii="Aptos" w:hAnsi="Aptos"/>
                <w:sz w:val="16"/>
              </w:rPr>
              <w:t>66.7 hr</w:t>
            </w:r>
          </w:p>
        </w:tc>
        <w:tc>
          <w:tcPr>
            <w:tcW w:type="dxa" w:w="1752"/>
            <w:vAlign w:val="center"/>
            <w:tcMar>
              <w:top w:w="55" w:type="dxa"/>
              <w:start w:w="75" w:type="dxa"/>
              <w:bottom w:w="55" w:type="dxa"/>
              <w:end w:w="75" w:type="dxa"/>
            </w:tcMar>
          </w:tcPr>
          <w:p>
            <w:pPr>
              <w:spacing w:after="0" w:before="0"/>
            </w:pPr>
            <w:r>
              <w:rPr>
                <w:rFonts w:ascii="Aptos" w:hAnsi="Aptos"/>
                <w:sz w:val="16"/>
              </w:rPr>
              <w:t>$3,969</w:t>
            </w:r>
          </w:p>
        </w:tc>
        <w:tc>
          <w:tcPr>
            <w:tcW w:type="dxa" w:w="1752"/>
            <w:vAlign w:val="center"/>
            <w:tcMar>
              <w:top w:w="55" w:type="dxa"/>
              <w:start w:w="75" w:type="dxa"/>
              <w:bottom w:w="55" w:type="dxa"/>
              <w:end w:w="75" w:type="dxa"/>
            </w:tcMar>
          </w:tcPr>
          <w:p>
            <w:pPr>
              <w:spacing w:after="0" w:before="0"/>
            </w:pPr>
            <w:r>
              <w:rPr>
                <w:rFonts w:ascii="Aptos" w:hAnsi="Aptos"/>
                <w:sz w:val="16"/>
              </w:rPr>
              <w:t>$0</w:t>
            </w:r>
          </w:p>
        </w:tc>
        <w:tc>
          <w:tcPr>
            <w:tcW w:type="dxa" w:w="1752"/>
            <w:vAlign w:val="center"/>
            <w:tcMar>
              <w:top w:w="55" w:type="dxa"/>
              <w:start w:w="75" w:type="dxa"/>
              <w:bottom w:w="55" w:type="dxa"/>
              <w:end w:w="75" w:type="dxa"/>
            </w:tcMar>
          </w:tcPr>
          <w:p>
            <w:pPr>
              <w:spacing w:after="0" w:before="0"/>
            </w:pPr>
            <w:r>
              <w:rPr>
                <w:rFonts w:ascii="Aptos" w:hAnsi="Aptos"/>
                <w:sz w:val="16"/>
              </w:rPr>
              <w:t>$5,409</w:t>
            </w:r>
          </w:p>
        </w:tc>
      </w:tr>
    </w:tbl>
    <w:p>
      <w:r>
        <w:rPr>
          <w:b/>
        </w:rPr>
        <w:t xml:space="preserve">For the L2 user, the hidden time burden consists of two pieces: </w:t>
      </w:r>
      <w:r>
        <w:t>62.5 hours per year traveling to and from 125 successful sessions, plus about 15.6 hours from an expected 31.3 failed attempts. That produces 78.1 nonproductive hours and about $4,652 of annual time burden even though the three-hour charging dwell itself is valued at zero.</w:t>
      </w:r>
    </w:p>
    <w:p>
      <w:r>
        <w:rPr>
          <w:b/>
        </w:rPr>
        <w:t xml:space="preserve">The key comparison is now inverted. </w:t>
      </w:r>
      <w:r>
        <w:t>The mature L2 scenario costs about $5,732/year, slightly above the optimistic L3 scenario at $5,409/year. Both remain far above home/cross-curb charging at $1,128/year.</w:t>
      </w:r>
    </w:p>
    <w:p>
      <w:pPr>
        <w:pStyle w:val="Heading1"/>
      </w:pPr>
      <w:r>
        <w:t>3. Shared charging infrastructure required</w:t>
      </w:r>
    </w:p>
    <w:p>
      <w:r>
        <w:t>For capacity planning, the model assumes 30% average port utilization. A three-hour L2 port can support 876 successful charging sessions per year at that utilization. A 30-minute L3 port can support 5,256 sessions per year at the same utilization. DOE-observed 42-minute DC fast charging is included as a sensitivity.</w:t>
      </w:r>
    </w:p>
    <w:tbl>
      <w:tblPr>
        <w:tblStyle w:val="TableGrid"/>
        <w:tblW w:type="auto" w:w="0"/>
        <w:jc w:val="center"/>
        <w:tblLook w:firstColumn="1" w:firstRow="1" w:lastColumn="0" w:lastRow="0" w:noHBand="0" w:noVBand="1" w:val="04A0"/>
      </w:tblPr>
      <w:tblGrid>
        <w:gridCol w:w="2102"/>
        <w:gridCol w:w="2102"/>
        <w:gridCol w:w="2102"/>
        <w:gridCol w:w="2102"/>
        <w:gridCol w:w="2102"/>
      </w:tblGrid>
      <w:tr>
        <w:tc>
          <w:tcPr>
            <w:tcW w:type="dxa" w:w="2102"/>
            <w:vAlign w:val="center"/>
            <w:tcMar>
              <w:top w:w="55" w:type="dxa"/>
              <w:start w:w="75" w:type="dxa"/>
              <w:bottom w:w="55" w:type="dxa"/>
              <w:end w:w="75" w:type="dxa"/>
            </w:tcMar>
            <w:shd w:fill="DCE6F1"/>
          </w:tcPr>
          <w:p>
            <w:pPr>
              <w:spacing w:after="0" w:before="0"/>
            </w:pPr>
            <w:r>
              <w:rPr>
                <w:rFonts w:ascii="Aptos" w:hAnsi="Aptos"/>
                <w:b/>
                <w:sz w:val="16"/>
              </w:rPr>
              <w:t>Metric</w:t>
            </w:r>
          </w:p>
        </w:tc>
        <w:tc>
          <w:tcPr>
            <w:tcW w:type="dxa" w:w="2102"/>
            <w:vAlign w:val="center"/>
            <w:tcMar>
              <w:top w:w="55" w:type="dxa"/>
              <w:start w:w="75" w:type="dxa"/>
              <w:bottom w:w="55" w:type="dxa"/>
              <w:end w:w="75" w:type="dxa"/>
            </w:tcMar>
            <w:shd w:fill="DCE6F1"/>
          </w:tcPr>
          <w:p>
            <w:pPr>
              <w:spacing w:after="0" w:before="0"/>
            </w:pPr>
            <w:r>
              <w:rPr>
                <w:rFonts w:ascii="Aptos" w:hAnsi="Aptos"/>
                <w:b/>
                <w:sz w:val="16"/>
              </w:rPr>
              <w:t>Public L2</w:t>
            </w:r>
          </w:p>
        </w:tc>
        <w:tc>
          <w:tcPr>
            <w:tcW w:type="dxa" w:w="2102"/>
            <w:vAlign w:val="center"/>
            <w:tcMar>
              <w:top w:w="55" w:type="dxa"/>
              <w:start w:w="75" w:type="dxa"/>
              <w:bottom w:w="55" w:type="dxa"/>
              <w:end w:w="75" w:type="dxa"/>
            </w:tcMar>
            <w:shd w:fill="DCE6F1"/>
          </w:tcPr>
          <w:p>
            <w:pPr>
              <w:spacing w:after="0" w:before="0"/>
            </w:pPr>
            <w:r>
              <w:rPr>
                <w:rFonts w:ascii="Aptos" w:hAnsi="Aptos"/>
                <w:b/>
                <w:sz w:val="16"/>
              </w:rPr>
              <w:t>L3, 30-min case</w:t>
            </w:r>
          </w:p>
        </w:tc>
        <w:tc>
          <w:tcPr>
            <w:tcW w:type="dxa" w:w="2102"/>
            <w:vAlign w:val="center"/>
            <w:tcMar>
              <w:top w:w="55" w:type="dxa"/>
              <w:start w:w="75" w:type="dxa"/>
              <w:bottom w:w="55" w:type="dxa"/>
              <w:end w:w="75" w:type="dxa"/>
            </w:tcMar>
            <w:shd w:fill="DCE6F1"/>
          </w:tcPr>
          <w:p>
            <w:pPr>
              <w:spacing w:after="0" w:before="0"/>
            </w:pPr>
            <w:r>
              <w:rPr>
                <w:rFonts w:ascii="Aptos" w:hAnsi="Aptos"/>
                <w:b/>
                <w:sz w:val="16"/>
              </w:rPr>
              <w:t>L3, 42-min sensitivity</w:t>
            </w:r>
          </w:p>
        </w:tc>
        <w:tc>
          <w:tcPr>
            <w:tcW w:type="dxa" w:w="2102"/>
            <w:vAlign w:val="center"/>
            <w:tcMar>
              <w:top w:w="55" w:type="dxa"/>
              <w:start w:w="75" w:type="dxa"/>
              <w:bottom w:w="55" w:type="dxa"/>
              <w:end w:w="75" w:type="dxa"/>
            </w:tcMar>
            <w:shd w:fill="DCE6F1"/>
          </w:tcPr>
          <w:p>
            <w:pPr>
              <w:spacing w:after="0" w:before="0"/>
            </w:pPr>
            <w:r>
              <w:rPr>
                <w:rFonts w:ascii="Aptos" w:hAnsi="Aptos"/>
                <w:b/>
                <w:sz w:val="16"/>
              </w:rPr>
              <w:t>Implication</w:t>
            </w:r>
          </w:p>
        </w:tc>
      </w:tr>
      <w:tr>
        <w:tc>
          <w:tcPr>
            <w:tcW w:type="dxa" w:w="2102"/>
            <w:vAlign w:val="center"/>
            <w:tcMar>
              <w:top w:w="55" w:type="dxa"/>
              <w:start w:w="75" w:type="dxa"/>
              <w:bottom w:w="55" w:type="dxa"/>
              <w:end w:w="75" w:type="dxa"/>
            </w:tcMar>
          </w:tcPr>
          <w:p>
            <w:pPr>
              <w:spacing w:after="0" w:before="0"/>
            </w:pPr>
            <w:r>
              <w:rPr>
                <w:rFonts w:ascii="Aptos" w:hAnsi="Aptos"/>
                <w:sz w:val="16"/>
              </w:rPr>
              <w:t>Session duration</w:t>
            </w:r>
          </w:p>
        </w:tc>
        <w:tc>
          <w:tcPr>
            <w:tcW w:type="dxa" w:w="2102"/>
            <w:vAlign w:val="center"/>
            <w:tcMar>
              <w:top w:w="55" w:type="dxa"/>
              <w:start w:w="75" w:type="dxa"/>
              <w:bottom w:w="55" w:type="dxa"/>
              <w:end w:w="75" w:type="dxa"/>
            </w:tcMar>
          </w:tcPr>
          <w:p>
            <w:pPr>
              <w:spacing w:after="0" w:before="0"/>
            </w:pPr>
            <w:r>
              <w:rPr>
                <w:rFonts w:ascii="Aptos" w:hAnsi="Aptos"/>
                <w:sz w:val="16"/>
              </w:rPr>
              <w:t>180 min</w:t>
            </w:r>
          </w:p>
        </w:tc>
        <w:tc>
          <w:tcPr>
            <w:tcW w:type="dxa" w:w="2102"/>
            <w:vAlign w:val="center"/>
            <w:tcMar>
              <w:top w:w="55" w:type="dxa"/>
              <w:start w:w="75" w:type="dxa"/>
              <w:bottom w:w="55" w:type="dxa"/>
              <w:end w:w="75" w:type="dxa"/>
            </w:tcMar>
          </w:tcPr>
          <w:p>
            <w:pPr>
              <w:spacing w:after="0" w:before="0"/>
            </w:pPr>
            <w:r>
              <w:rPr>
                <w:rFonts w:ascii="Aptos" w:hAnsi="Aptos"/>
                <w:sz w:val="16"/>
              </w:rPr>
              <w:t>30 min</w:t>
            </w:r>
          </w:p>
        </w:tc>
        <w:tc>
          <w:tcPr>
            <w:tcW w:type="dxa" w:w="2102"/>
            <w:vAlign w:val="center"/>
            <w:tcMar>
              <w:top w:w="55" w:type="dxa"/>
              <w:start w:w="75" w:type="dxa"/>
              <w:bottom w:w="55" w:type="dxa"/>
              <w:end w:w="75" w:type="dxa"/>
            </w:tcMar>
          </w:tcPr>
          <w:p>
            <w:pPr>
              <w:spacing w:after="0" w:before="0"/>
            </w:pPr>
            <w:r>
              <w:rPr>
                <w:rFonts w:ascii="Aptos" w:hAnsi="Aptos"/>
                <w:sz w:val="16"/>
              </w:rPr>
              <w:t>42 min</w:t>
            </w:r>
          </w:p>
        </w:tc>
        <w:tc>
          <w:tcPr>
            <w:tcW w:type="dxa" w:w="2102"/>
            <w:vAlign w:val="center"/>
            <w:tcMar>
              <w:top w:w="55" w:type="dxa"/>
              <w:start w:w="75" w:type="dxa"/>
              <w:bottom w:w="55" w:type="dxa"/>
              <w:end w:w="75" w:type="dxa"/>
            </w:tcMar>
          </w:tcPr>
          <w:p>
            <w:pPr>
              <w:spacing w:after="0" w:before="0"/>
            </w:pPr>
            <w:r>
              <w:rPr>
                <w:rFonts w:ascii="Aptos" w:hAnsi="Aptos"/>
                <w:sz w:val="16"/>
              </w:rPr>
              <w:t>DOE observed paid DCFC average is 42 minutes</w:t>
            </w:r>
          </w:p>
        </w:tc>
      </w:tr>
      <w:tr>
        <w:tc>
          <w:tcPr>
            <w:tcW w:type="dxa" w:w="2102"/>
            <w:vAlign w:val="center"/>
            <w:tcMar>
              <w:top w:w="55" w:type="dxa"/>
              <w:start w:w="75" w:type="dxa"/>
              <w:bottom w:w="55" w:type="dxa"/>
              <w:end w:w="75" w:type="dxa"/>
            </w:tcMar>
          </w:tcPr>
          <w:p>
            <w:pPr>
              <w:spacing w:after="0" w:before="0"/>
            </w:pPr>
            <w:r>
              <w:rPr>
                <w:rFonts w:ascii="Aptos" w:hAnsi="Aptos"/>
                <w:sz w:val="16"/>
              </w:rPr>
              <w:t>Sessions/port/year at 30%</w:t>
            </w:r>
          </w:p>
        </w:tc>
        <w:tc>
          <w:tcPr>
            <w:tcW w:type="dxa" w:w="2102"/>
            <w:vAlign w:val="center"/>
            <w:tcMar>
              <w:top w:w="55" w:type="dxa"/>
              <w:start w:w="75" w:type="dxa"/>
              <w:bottom w:w="55" w:type="dxa"/>
              <w:end w:w="75" w:type="dxa"/>
            </w:tcMar>
          </w:tcPr>
          <w:p>
            <w:pPr>
              <w:spacing w:after="0" w:before="0"/>
            </w:pPr>
            <w:r>
              <w:rPr>
                <w:rFonts w:ascii="Aptos" w:hAnsi="Aptos"/>
                <w:sz w:val="16"/>
              </w:rPr>
              <w:t>876</w:t>
            </w:r>
          </w:p>
        </w:tc>
        <w:tc>
          <w:tcPr>
            <w:tcW w:type="dxa" w:w="2102"/>
            <w:vAlign w:val="center"/>
            <w:tcMar>
              <w:top w:w="55" w:type="dxa"/>
              <w:start w:w="75" w:type="dxa"/>
              <w:bottom w:w="55" w:type="dxa"/>
              <w:end w:w="75" w:type="dxa"/>
            </w:tcMar>
          </w:tcPr>
          <w:p>
            <w:pPr>
              <w:spacing w:after="0" w:before="0"/>
            </w:pPr>
            <w:r>
              <w:rPr>
                <w:rFonts w:ascii="Aptos" w:hAnsi="Aptos"/>
                <w:sz w:val="16"/>
              </w:rPr>
              <w:t>5,256</w:t>
            </w:r>
          </w:p>
        </w:tc>
        <w:tc>
          <w:tcPr>
            <w:tcW w:type="dxa" w:w="2102"/>
            <w:vAlign w:val="center"/>
            <w:tcMar>
              <w:top w:w="55" w:type="dxa"/>
              <w:start w:w="75" w:type="dxa"/>
              <w:bottom w:w="55" w:type="dxa"/>
              <w:end w:w="75" w:type="dxa"/>
            </w:tcMar>
          </w:tcPr>
          <w:p>
            <w:pPr>
              <w:spacing w:after="0" w:before="0"/>
            </w:pPr>
            <w:r>
              <w:rPr>
                <w:rFonts w:ascii="Aptos" w:hAnsi="Aptos"/>
                <w:sz w:val="16"/>
              </w:rPr>
              <w:t>3,754</w:t>
            </w:r>
          </w:p>
        </w:tc>
        <w:tc>
          <w:tcPr>
            <w:tcW w:type="dxa" w:w="2102"/>
            <w:vAlign w:val="center"/>
            <w:tcMar>
              <w:top w:w="55" w:type="dxa"/>
              <w:start w:w="75" w:type="dxa"/>
              <w:bottom w:w="55" w:type="dxa"/>
              <w:end w:w="75" w:type="dxa"/>
            </w:tcMar>
          </w:tcPr>
          <w:p>
            <w:pPr>
              <w:spacing w:after="0" w:before="0"/>
            </w:pPr>
            <w:r>
              <w:rPr>
                <w:rFonts w:ascii="Aptos" w:hAnsi="Aptos"/>
                <w:sz w:val="16"/>
              </w:rPr>
              <w:t>Physical turnover</w:t>
            </w:r>
          </w:p>
        </w:tc>
      </w:tr>
      <w:tr>
        <w:tc>
          <w:tcPr>
            <w:tcW w:type="dxa" w:w="2102"/>
            <w:vAlign w:val="center"/>
            <w:tcMar>
              <w:top w:w="55" w:type="dxa"/>
              <w:start w:w="75" w:type="dxa"/>
              <w:bottom w:w="55" w:type="dxa"/>
              <w:end w:w="75" w:type="dxa"/>
            </w:tcMar>
          </w:tcPr>
          <w:p>
            <w:pPr>
              <w:spacing w:after="0" w:before="0"/>
            </w:pPr>
            <w:r>
              <w:rPr>
                <w:rFonts w:ascii="Aptos" w:hAnsi="Aptos"/>
                <w:sz w:val="16"/>
              </w:rPr>
              <w:t>Routine users supported/port</w:t>
            </w:r>
          </w:p>
        </w:tc>
        <w:tc>
          <w:tcPr>
            <w:tcW w:type="dxa" w:w="2102"/>
            <w:vAlign w:val="center"/>
            <w:tcMar>
              <w:top w:w="55" w:type="dxa"/>
              <w:start w:w="75" w:type="dxa"/>
              <w:bottom w:w="55" w:type="dxa"/>
              <w:end w:w="75" w:type="dxa"/>
            </w:tcMar>
          </w:tcPr>
          <w:p>
            <w:pPr>
              <w:spacing w:after="0" w:before="0"/>
            </w:pPr>
            <w:r>
              <w:rPr>
                <w:rFonts w:ascii="Aptos" w:hAnsi="Aptos"/>
                <w:sz w:val="16"/>
              </w:rPr>
              <w:t>7.0</w:t>
            </w:r>
          </w:p>
        </w:tc>
        <w:tc>
          <w:tcPr>
            <w:tcW w:type="dxa" w:w="2102"/>
            <w:vAlign w:val="center"/>
            <w:tcMar>
              <w:top w:w="55" w:type="dxa"/>
              <w:start w:w="75" w:type="dxa"/>
              <w:bottom w:w="55" w:type="dxa"/>
              <w:end w:w="75" w:type="dxa"/>
            </w:tcMar>
          </w:tcPr>
          <w:p>
            <w:pPr>
              <w:spacing w:after="0" w:before="0"/>
            </w:pPr>
            <w:r>
              <w:rPr>
                <w:rFonts w:ascii="Aptos" w:hAnsi="Aptos"/>
                <w:sz w:val="16"/>
              </w:rPr>
              <w:t>65.7</w:t>
            </w:r>
          </w:p>
        </w:tc>
        <w:tc>
          <w:tcPr>
            <w:tcW w:type="dxa" w:w="2102"/>
            <w:vAlign w:val="center"/>
            <w:tcMar>
              <w:top w:w="55" w:type="dxa"/>
              <w:start w:w="75" w:type="dxa"/>
              <w:bottom w:w="55" w:type="dxa"/>
              <w:end w:w="75" w:type="dxa"/>
            </w:tcMar>
          </w:tcPr>
          <w:p>
            <w:pPr>
              <w:spacing w:after="0" w:before="0"/>
            </w:pPr>
            <w:r>
              <w:rPr>
                <w:rFonts w:ascii="Aptos" w:hAnsi="Aptos"/>
                <w:sz w:val="16"/>
              </w:rPr>
              <w:t>46.9</w:t>
            </w:r>
          </w:p>
        </w:tc>
        <w:tc>
          <w:tcPr>
            <w:tcW w:type="dxa" w:w="2102"/>
            <w:vAlign w:val="center"/>
            <w:tcMar>
              <w:top w:w="55" w:type="dxa"/>
              <w:start w:w="75" w:type="dxa"/>
              <w:bottom w:w="55" w:type="dxa"/>
              <w:end w:w="75" w:type="dxa"/>
            </w:tcMar>
          </w:tcPr>
          <w:p>
            <w:pPr>
              <w:spacing w:after="0" w:before="0"/>
            </w:pPr>
            <w:r>
              <w:rPr>
                <w:rFonts w:ascii="Aptos" w:hAnsi="Aptos"/>
                <w:sz w:val="16"/>
              </w:rPr>
              <w:t>At 3,600 kWh/user-year</w:t>
            </w:r>
          </w:p>
        </w:tc>
      </w:tr>
      <w:tr>
        <w:tc>
          <w:tcPr>
            <w:tcW w:type="dxa" w:w="2102"/>
            <w:vAlign w:val="center"/>
            <w:tcMar>
              <w:top w:w="55" w:type="dxa"/>
              <w:start w:w="75" w:type="dxa"/>
              <w:bottom w:w="55" w:type="dxa"/>
              <w:end w:w="75" w:type="dxa"/>
            </w:tcMar>
          </w:tcPr>
          <w:p>
            <w:pPr>
              <w:spacing w:after="0" w:before="0"/>
            </w:pPr>
            <w:r>
              <w:rPr>
                <w:rFonts w:ascii="Aptos" w:hAnsi="Aptos"/>
                <w:sz w:val="16"/>
              </w:rPr>
              <w:t>Capacity vs L2</w:t>
            </w:r>
          </w:p>
        </w:tc>
        <w:tc>
          <w:tcPr>
            <w:tcW w:type="dxa" w:w="2102"/>
            <w:vAlign w:val="center"/>
            <w:tcMar>
              <w:top w:w="55" w:type="dxa"/>
              <w:start w:w="75" w:type="dxa"/>
              <w:bottom w:w="55" w:type="dxa"/>
              <w:end w:w="75" w:type="dxa"/>
            </w:tcMar>
          </w:tcPr>
          <w:p>
            <w:pPr>
              <w:spacing w:after="0" w:before="0"/>
            </w:pPr>
            <w:r>
              <w:rPr>
                <w:rFonts w:ascii="Aptos" w:hAnsi="Aptos"/>
                <w:sz w:val="16"/>
              </w:rPr>
              <w:t>1.0x</w:t>
            </w:r>
          </w:p>
        </w:tc>
        <w:tc>
          <w:tcPr>
            <w:tcW w:type="dxa" w:w="2102"/>
            <w:vAlign w:val="center"/>
            <w:tcMar>
              <w:top w:w="55" w:type="dxa"/>
              <w:start w:w="75" w:type="dxa"/>
              <w:bottom w:w="55" w:type="dxa"/>
              <w:end w:w="75" w:type="dxa"/>
            </w:tcMar>
          </w:tcPr>
          <w:p>
            <w:pPr>
              <w:spacing w:after="0" w:before="0"/>
            </w:pPr>
            <w:r>
              <w:rPr>
                <w:rFonts w:ascii="Aptos" w:hAnsi="Aptos"/>
                <w:sz w:val="16"/>
              </w:rPr>
              <w:t>9.4x</w:t>
            </w:r>
          </w:p>
        </w:tc>
        <w:tc>
          <w:tcPr>
            <w:tcW w:type="dxa" w:w="2102"/>
            <w:vAlign w:val="center"/>
            <w:tcMar>
              <w:top w:w="55" w:type="dxa"/>
              <w:start w:w="75" w:type="dxa"/>
              <w:bottom w:w="55" w:type="dxa"/>
              <w:end w:w="75" w:type="dxa"/>
            </w:tcMar>
          </w:tcPr>
          <w:p>
            <w:pPr>
              <w:spacing w:after="0" w:before="0"/>
            </w:pPr>
            <w:r>
              <w:rPr>
                <w:rFonts w:ascii="Aptos" w:hAnsi="Aptos"/>
                <w:sz w:val="16"/>
              </w:rPr>
              <w:t>6.7x</w:t>
            </w:r>
          </w:p>
        </w:tc>
        <w:tc>
          <w:tcPr>
            <w:tcW w:type="dxa" w:w="2102"/>
            <w:vAlign w:val="center"/>
            <w:tcMar>
              <w:top w:w="55" w:type="dxa"/>
              <w:start w:w="75" w:type="dxa"/>
              <w:bottom w:w="55" w:type="dxa"/>
              <w:end w:w="75" w:type="dxa"/>
            </w:tcMar>
          </w:tcPr>
          <w:p>
            <w:pPr>
              <w:spacing w:after="0" w:before="0"/>
            </w:pPr>
            <w:r>
              <w:rPr>
                <w:rFonts w:ascii="Aptos" w:hAnsi="Aptos"/>
                <w:sz w:val="16"/>
              </w:rPr>
              <w:t>Users served per shared port</w:t>
            </w:r>
          </w:p>
        </w:tc>
      </w:tr>
    </w:tbl>
    <w:p>
      <w:pPr>
        <w:pStyle w:val="Heading1"/>
      </w:pPr>
      <w:r>
        <w:t>4. Alexandria-wide charger requirements by EV penetration</w:t>
      </w:r>
    </w:p>
    <w:p>
      <w:r>
        <w:t>The citywide scenarios use approximately 120,291 personal-use vehicles as the working fleet denominator and assume that 35% of EV owners lack practical conventional home charging. The 35% figure is an illustrative planning assumption rather than a measured City statistic.</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55" w:type="dxa"/>
              <w:start w:w="75" w:type="dxa"/>
              <w:bottom w:w="55" w:type="dxa"/>
              <w:end w:w="75" w:type="dxa"/>
            </w:tcMar>
            <w:shd w:fill="DCE6F1"/>
          </w:tcPr>
          <w:p>
            <w:pPr>
              <w:spacing w:after="0" w:before="0"/>
            </w:pPr>
            <w:r>
              <w:rPr>
                <w:rFonts w:ascii="Aptos" w:hAnsi="Aptos"/>
                <w:b/>
                <w:sz w:val="16"/>
              </w:rPr>
              <w:t>EV penetration</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Total EVs</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Affected EVs (35%)</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L2 ports if L2-first</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L3 ports, 30-min</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L3 ports, 42-min</w:t>
            </w:r>
          </w:p>
        </w:tc>
      </w:tr>
      <w:tr>
        <w:tc>
          <w:tcPr>
            <w:tcW w:type="dxa" w:w="1752"/>
            <w:vAlign w:val="center"/>
            <w:tcMar>
              <w:top w:w="55" w:type="dxa"/>
              <w:start w:w="75" w:type="dxa"/>
              <w:bottom w:w="55" w:type="dxa"/>
              <w:end w:w="75" w:type="dxa"/>
            </w:tcMar>
          </w:tcPr>
          <w:p>
            <w:pPr>
              <w:spacing w:after="0" w:before="0"/>
            </w:pPr>
            <w:r>
              <w:rPr>
                <w:rFonts w:ascii="Aptos" w:hAnsi="Aptos"/>
                <w:sz w:val="16"/>
              </w:rPr>
              <w:t>5%</w:t>
            </w:r>
          </w:p>
        </w:tc>
        <w:tc>
          <w:tcPr>
            <w:tcW w:type="dxa" w:w="1752"/>
            <w:vAlign w:val="center"/>
            <w:tcMar>
              <w:top w:w="55" w:type="dxa"/>
              <w:start w:w="75" w:type="dxa"/>
              <w:bottom w:w="55" w:type="dxa"/>
              <w:end w:w="75" w:type="dxa"/>
            </w:tcMar>
          </w:tcPr>
          <w:p>
            <w:pPr>
              <w:spacing w:after="0" w:before="0"/>
            </w:pPr>
            <w:r>
              <w:rPr>
                <w:rFonts w:ascii="Aptos" w:hAnsi="Aptos"/>
                <w:sz w:val="16"/>
              </w:rPr>
              <w:t>6,015</w:t>
            </w:r>
          </w:p>
        </w:tc>
        <w:tc>
          <w:tcPr>
            <w:tcW w:type="dxa" w:w="1752"/>
            <w:vAlign w:val="center"/>
            <w:tcMar>
              <w:top w:w="55" w:type="dxa"/>
              <w:start w:w="75" w:type="dxa"/>
              <w:bottom w:w="55" w:type="dxa"/>
              <w:end w:w="75" w:type="dxa"/>
            </w:tcMar>
          </w:tcPr>
          <w:p>
            <w:pPr>
              <w:spacing w:after="0" w:before="0"/>
            </w:pPr>
            <w:r>
              <w:rPr>
                <w:rFonts w:ascii="Aptos" w:hAnsi="Aptos"/>
                <w:sz w:val="16"/>
              </w:rPr>
              <w:t>2,105</w:t>
            </w:r>
          </w:p>
        </w:tc>
        <w:tc>
          <w:tcPr>
            <w:tcW w:type="dxa" w:w="1752"/>
            <w:vAlign w:val="center"/>
            <w:tcMar>
              <w:top w:w="55" w:type="dxa"/>
              <w:start w:w="75" w:type="dxa"/>
              <w:bottom w:w="55" w:type="dxa"/>
              <w:end w:w="75" w:type="dxa"/>
            </w:tcMar>
          </w:tcPr>
          <w:p>
            <w:pPr>
              <w:spacing w:after="0" w:before="0"/>
            </w:pPr>
            <w:r>
              <w:rPr>
                <w:rFonts w:ascii="Aptos" w:hAnsi="Aptos"/>
                <w:sz w:val="16"/>
              </w:rPr>
              <w:t>300</w:t>
            </w:r>
          </w:p>
        </w:tc>
        <w:tc>
          <w:tcPr>
            <w:tcW w:type="dxa" w:w="1752"/>
            <w:vAlign w:val="center"/>
            <w:tcMar>
              <w:top w:w="55" w:type="dxa"/>
              <w:start w:w="75" w:type="dxa"/>
              <w:bottom w:w="55" w:type="dxa"/>
              <w:end w:w="75" w:type="dxa"/>
            </w:tcMar>
          </w:tcPr>
          <w:p>
            <w:pPr>
              <w:spacing w:after="0" w:before="0"/>
            </w:pPr>
            <w:r>
              <w:rPr>
                <w:rFonts w:ascii="Aptos" w:hAnsi="Aptos"/>
                <w:sz w:val="16"/>
              </w:rPr>
              <w:t>32</w:t>
            </w:r>
          </w:p>
        </w:tc>
        <w:tc>
          <w:tcPr>
            <w:tcW w:type="dxa" w:w="1752"/>
            <w:vAlign w:val="center"/>
            <w:tcMar>
              <w:top w:w="55" w:type="dxa"/>
              <w:start w:w="75" w:type="dxa"/>
              <w:bottom w:w="55" w:type="dxa"/>
              <w:end w:w="75" w:type="dxa"/>
            </w:tcMar>
          </w:tcPr>
          <w:p>
            <w:pPr>
              <w:spacing w:after="0" w:before="0"/>
            </w:pPr>
            <w:r>
              <w:rPr>
                <w:rFonts w:ascii="Aptos" w:hAnsi="Aptos"/>
                <w:sz w:val="16"/>
              </w:rPr>
              <w:t>45</w:t>
            </w:r>
          </w:p>
        </w:tc>
      </w:tr>
      <w:tr>
        <w:tc>
          <w:tcPr>
            <w:tcW w:type="dxa" w:w="1752"/>
            <w:vAlign w:val="center"/>
            <w:tcMar>
              <w:top w:w="55" w:type="dxa"/>
              <w:start w:w="75" w:type="dxa"/>
              <w:bottom w:w="55" w:type="dxa"/>
              <w:end w:w="75" w:type="dxa"/>
            </w:tcMar>
          </w:tcPr>
          <w:p>
            <w:pPr>
              <w:spacing w:after="0" w:before="0"/>
            </w:pPr>
            <w:r>
              <w:rPr>
                <w:rFonts w:ascii="Aptos" w:hAnsi="Aptos"/>
                <w:sz w:val="16"/>
              </w:rPr>
              <w:t>10%</w:t>
            </w:r>
          </w:p>
        </w:tc>
        <w:tc>
          <w:tcPr>
            <w:tcW w:type="dxa" w:w="1752"/>
            <w:vAlign w:val="center"/>
            <w:tcMar>
              <w:top w:w="55" w:type="dxa"/>
              <w:start w:w="75" w:type="dxa"/>
              <w:bottom w:w="55" w:type="dxa"/>
              <w:end w:w="75" w:type="dxa"/>
            </w:tcMar>
          </w:tcPr>
          <w:p>
            <w:pPr>
              <w:spacing w:after="0" w:before="0"/>
            </w:pPr>
            <w:r>
              <w:rPr>
                <w:rFonts w:ascii="Aptos" w:hAnsi="Aptos"/>
                <w:sz w:val="16"/>
              </w:rPr>
              <w:t>12,029</w:t>
            </w:r>
          </w:p>
        </w:tc>
        <w:tc>
          <w:tcPr>
            <w:tcW w:type="dxa" w:w="1752"/>
            <w:vAlign w:val="center"/>
            <w:tcMar>
              <w:top w:w="55" w:type="dxa"/>
              <w:start w:w="75" w:type="dxa"/>
              <w:bottom w:w="55" w:type="dxa"/>
              <w:end w:w="75" w:type="dxa"/>
            </w:tcMar>
          </w:tcPr>
          <w:p>
            <w:pPr>
              <w:spacing w:after="0" w:before="0"/>
            </w:pPr>
            <w:r>
              <w:rPr>
                <w:rFonts w:ascii="Aptos" w:hAnsi="Aptos"/>
                <w:sz w:val="16"/>
              </w:rPr>
              <w:t>4,210</w:t>
            </w:r>
          </w:p>
        </w:tc>
        <w:tc>
          <w:tcPr>
            <w:tcW w:type="dxa" w:w="1752"/>
            <w:vAlign w:val="center"/>
            <w:tcMar>
              <w:top w:w="55" w:type="dxa"/>
              <w:start w:w="75" w:type="dxa"/>
              <w:bottom w:w="55" w:type="dxa"/>
              <w:end w:w="75" w:type="dxa"/>
            </w:tcMar>
          </w:tcPr>
          <w:p>
            <w:pPr>
              <w:spacing w:after="0" w:before="0"/>
            </w:pPr>
            <w:r>
              <w:rPr>
                <w:rFonts w:ascii="Aptos" w:hAnsi="Aptos"/>
                <w:sz w:val="16"/>
              </w:rPr>
              <w:t>601</w:t>
            </w:r>
          </w:p>
        </w:tc>
        <w:tc>
          <w:tcPr>
            <w:tcW w:type="dxa" w:w="1752"/>
            <w:vAlign w:val="center"/>
            <w:tcMar>
              <w:top w:w="55" w:type="dxa"/>
              <w:start w:w="75" w:type="dxa"/>
              <w:bottom w:w="55" w:type="dxa"/>
              <w:end w:w="75" w:type="dxa"/>
            </w:tcMar>
          </w:tcPr>
          <w:p>
            <w:pPr>
              <w:spacing w:after="0" w:before="0"/>
            </w:pPr>
            <w:r>
              <w:rPr>
                <w:rFonts w:ascii="Aptos" w:hAnsi="Aptos"/>
                <w:sz w:val="16"/>
              </w:rPr>
              <w:t>64</w:t>
            </w:r>
          </w:p>
        </w:tc>
        <w:tc>
          <w:tcPr>
            <w:tcW w:type="dxa" w:w="1752"/>
            <w:vAlign w:val="center"/>
            <w:tcMar>
              <w:top w:w="55" w:type="dxa"/>
              <w:start w:w="75" w:type="dxa"/>
              <w:bottom w:w="55" w:type="dxa"/>
              <w:end w:w="75" w:type="dxa"/>
            </w:tcMar>
          </w:tcPr>
          <w:p>
            <w:pPr>
              <w:spacing w:after="0" w:before="0"/>
            </w:pPr>
            <w:r>
              <w:rPr>
                <w:rFonts w:ascii="Aptos" w:hAnsi="Aptos"/>
                <w:sz w:val="16"/>
              </w:rPr>
              <w:t>90</w:t>
            </w:r>
          </w:p>
        </w:tc>
      </w:tr>
      <w:tr>
        <w:tc>
          <w:tcPr>
            <w:tcW w:type="dxa" w:w="1752"/>
            <w:vAlign w:val="center"/>
            <w:tcMar>
              <w:top w:w="55" w:type="dxa"/>
              <w:start w:w="75" w:type="dxa"/>
              <w:bottom w:w="55" w:type="dxa"/>
              <w:end w:w="75" w:type="dxa"/>
            </w:tcMar>
          </w:tcPr>
          <w:p>
            <w:pPr>
              <w:spacing w:after="0" w:before="0"/>
            </w:pPr>
            <w:r>
              <w:rPr>
                <w:rFonts w:ascii="Aptos" w:hAnsi="Aptos"/>
                <w:sz w:val="16"/>
              </w:rPr>
              <w:t>25%</w:t>
            </w:r>
          </w:p>
        </w:tc>
        <w:tc>
          <w:tcPr>
            <w:tcW w:type="dxa" w:w="1752"/>
            <w:vAlign w:val="center"/>
            <w:tcMar>
              <w:top w:w="55" w:type="dxa"/>
              <w:start w:w="75" w:type="dxa"/>
              <w:bottom w:w="55" w:type="dxa"/>
              <w:end w:w="75" w:type="dxa"/>
            </w:tcMar>
          </w:tcPr>
          <w:p>
            <w:pPr>
              <w:spacing w:after="0" w:before="0"/>
            </w:pPr>
            <w:r>
              <w:rPr>
                <w:rFonts w:ascii="Aptos" w:hAnsi="Aptos"/>
                <w:sz w:val="16"/>
              </w:rPr>
              <w:t>30,073</w:t>
            </w:r>
          </w:p>
        </w:tc>
        <w:tc>
          <w:tcPr>
            <w:tcW w:type="dxa" w:w="1752"/>
            <w:vAlign w:val="center"/>
            <w:tcMar>
              <w:top w:w="55" w:type="dxa"/>
              <w:start w:w="75" w:type="dxa"/>
              <w:bottom w:w="55" w:type="dxa"/>
              <w:end w:w="75" w:type="dxa"/>
            </w:tcMar>
          </w:tcPr>
          <w:p>
            <w:pPr>
              <w:spacing w:after="0" w:before="0"/>
            </w:pPr>
            <w:r>
              <w:rPr>
                <w:rFonts w:ascii="Aptos" w:hAnsi="Aptos"/>
                <w:sz w:val="16"/>
              </w:rPr>
              <w:t>10,525</w:t>
            </w:r>
          </w:p>
        </w:tc>
        <w:tc>
          <w:tcPr>
            <w:tcW w:type="dxa" w:w="1752"/>
            <w:vAlign w:val="center"/>
            <w:tcMar>
              <w:top w:w="55" w:type="dxa"/>
              <w:start w:w="75" w:type="dxa"/>
              <w:bottom w:w="55" w:type="dxa"/>
              <w:end w:w="75" w:type="dxa"/>
            </w:tcMar>
          </w:tcPr>
          <w:p>
            <w:pPr>
              <w:spacing w:after="0" w:before="0"/>
            </w:pPr>
            <w:r>
              <w:rPr>
                <w:rFonts w:ascii="Aptos" w:hAnsi="Aptos"/>
                <w:sz w:val="16"/>
              </w:rPr>
              <w:t>1,502</w:t>
            </w:r>
          </w:p>
        </w:tc>
        <w:tc>
          <w:tcPr>
            <w:tcW w:type="dxa" w:w="1752"/>
            <w:vAlign w:val="center"/>
            <w:tcMar>
              <w:top w:w="55" w:type="dxa"/>
              <w:start w:w="75" w:type="dxa"/>
              <w:bottom w:w="55" w:type="dxa"/>
              <w:end w:w="75" w:type="dxa"/>
            </w:tcMar>
          </w:tcPr>
          <w:p>
            <w:pPr>
              <w:spacing w:after="0" w:before="0"/>
            </w:pPr>
            <w:r>
              <w:rPr>
                <w:rFonts w:ascii="Aptos" w:hAnsi="Aptos"/>
                <w:sz w:val="16"/>
              </w:rPr>
              <w:t>160</w:t>
            </w:r>
          </w:p>
        </w:tc>
        <w:tc>
          <w:tcPr>
            <w:tcW w:type="dxa" w:w="1752"/>
            <w:vAlign w:val="center"/>
            <w:tcMar>
              <w:top w:w="55" w:type="dxa"/>
              <w:start w:w="75" w:type="dxa"/>
              <w:bottom w:w="55" w:type="dxa"/>
              <w:end w:w="75" w:type="dxa"/>
            </w:tcMar>
          </w:tcPr>
          <w:p>
            <w:pPr>
              <w:spacing w:after="0" w:before="0"/>
            </w:pPr>
            <w:r>
              <w:rPr>
                <w:rFonts w:ascii="Aptos" w:hAnsi="Aptos"/>
                <w:sz w:val="16"/>
              </w:rPr>
              <w:t>224</w:t>
            </w:r>
          </w:p>
        </w:tc>
      </w:tr>
      <w:tr>
        <w:tc>
          <w:tcPr>
            <w:tcW w:type="dxa" w:w="1752"/>
            <w:vAlign w:val="center"/>
            <w:tcMar>
              <w:top w:w="55" w:type="dxa"/>
              <w:start w:w="75" w:type="dxa"/>
              <w:bottom w:w="55" w:type="dxa"/>
              <w:end w:w="75" w:type="dxa"/>
            </w:tcMar>
          </w:tcPr>
          <w:p>
            <w:pPr>
              <w:spacing w:after="0" w:before="0"/>
            </w:pPr>
            <w:r>
              <w:rPr>
                <w:rFonts w:ascii="Aptos" w:hAnsi="Aptos"/>
                <w:sz w:val="16"/>
              </w:rPr>
              <w:t>50%</w:t>
            </w:r>
          </w:p>
        </w:tc>
        <w:tc>
          <w:tcPr>
            <w:tcW w:type="dxa" w:w="1752"/>
            <w:vAlign w:val="center"/>
            <w:tcMar>
              <w:top w:w="55" w:type="dxa"/>
              <w:start w:w="75" w:type="dxa"/>
              <w:bottom w:w="55" w:type="dxa"/>
              <w:end w:w="75" w:type="dxa"/>
            </w:tcMar>
          </w:tcPr>
          <w:p>
            <w:pPr>
              <w:spacing w:after="0" w:before="0"/>
            </w:pPr>
            <w:r>
              <w:rPr>
                <w:rFonts w:ascii="Aptos" w:hAnsi="Aptos"/>
                <w:sz w:val="16"/>
              </w:rPr>
              <w:t>60,146</w:t>
            </w:r>
          </w:p>
        </w:tc>
        <w:tc>
          <w:tcPr>
            <w:tcW w:type="dxa" w:w="1752"/>
            <w:vAlign w:val="center"/>
            <w:tcMar>
              <w:top w:w="55" w:type="dxa"/>
              <w:start w:w="75" w:type="dxa"/>
              <w:bottom w:w="55" w:type="dxa"/>
              <w:end w:w="75" w:type="dxa"/>
            </w:tcMar>
          </w:tcPr>
          <w:p>
            <w:pPr>
              <w:spacing w:after="0" w:before="0"/>
            </w:pPr>
            <w:r>
              <w:rPr>
                <w:rFonts w:ascii="Aptos" w:hAnsi="Aptos"/>
                <w:sz w:val="16"/>
              </w:rPr>
              <w:t>21,051</w:t>
            </w:r>
          </w:p>
        </w:tc>
        <w:tc>
          <w:tcPr>
            <w:tcW w:type="dxa" w:w="1752"/>
            <w:vAlign w:val="center"/>
            <w:tcMar>
              <w:top w:w="55" w:type="dxa"/>
              <w:start w:w="75" w:type="dxa"/>
              <w:bottom w:w="55" w:type="dxa"/>
              <w:end w:w="75" w:type="dxa"/>
            </w:tcMar>
          </w:tcPr>
          <w:p>
            <w:pPr>
              <w:spacing w:after="0" w:before="0"/>
            </w:pPr>
            <w:r>
              <w:rPr>
                <w:rFonts w:ascii="Aptos" w:hAnsi="Aptos"/>
                <w:sz w:val="16"/>
              </w:rPr>
              <w:t>3,004</w:t>
            </w:r>
          </w:p>
        </w:tc>
        <w:tc>
          <w:tcPr>
            <w:tcW w:type="dxa" w:w="1752"/>
            <w:vAlign w:val="center"/>
            <w:tcMar>
              <w:top w:w="55" w:type="dxa"/>
              <w:start w:w="75" w:type="dxa"/>
              <w:bottom w:w="55" w:type="dxa"/>
              <w:end w:w="75" w:type="dxa"/>
            </w:tcMar>
          </w:tcPr>
          <w:p>
            <w:pPr>
              <w:spacing w:after="0" w:before="0"/>
            </w:pPr>
            <w:r>
              <w:rPr>
                <w:rFonts w:ascii="Aptos" w:hAnsi="Aptos"/>
                <w:sz w:val="16"/>
              </w:rPr>
              <w:t>320</w:t>
            </w:r>
          </w:p>
        </w:tc>
        <w:tc>
          <w:tcPr>
            <w:tcW w:type="dxa" w:w="1752"/>
            <w:vAlign w:val="center"/>
            <w:tcMar>
              <w:top w:w="55" w:type="dxa"/>
              <w:start w:w="75" w:type="dxa"/>
              <w:bottom w:w="55" w:type="dxa"/>
              <w:end w:w="75" w:type="dxa"/>
            </w:tcMar>
          </w:tcPr>
          <w:p>
            <w:pPr>
              <w:spacing w:after="0" w:before="0"/>
            </w:pPr>
            <w:r>
              <w:rPr>
                <w:rFonts w:ascii="Aptos" w:hAnsi="Aptos"/>
                <w:sz w:val="16"/>
              </w:rPr>
              <w:t>449</w:t>
            </w:r>
          </w:p>
        </w:tc>
      </w:tr>
      <w:tr>
        <w:tc>
          <w:tcPr>
            <w:tcW w:type="dxa" w:w="1752"/>
            <w:vAlign w:val="center"/>
            <w:tcMar>
              <w:top w:w="55" w:type="dxa"/>
              <w:start w:w="75" w:type="dxa"/>
              <w:bottom w:w="55" w:type="dxa"/>
              <w:end w:w="75" w:type="dxa"/>
            </w:tcMar>
          </w:tcPr>
          <w:p>
            <w:pPr>
              <w:spacing w:after="0" w:before="0"/>
            </w:pPr>
            <w:r>
              <w:rPr>
                <w:rFonts w:ascii="Aptos" w:hAnsi="Aptos"/>
                <w:sz w:val="16"/>
              </w:rPr>
              <w:t>75%</w:t>
            </w:r>
          </w:p>
        </w:tc>
        <w:tc>
          <w:tcPr>
            <w:tcW w:type="dxa" w:w="1752"/>
            <w:vAlign w:val="center"/>
            <w:tcMar>
              <w:top w:w="55" w:type="dxa"/>
              <w:start w:w="75" w:type="dxa"/>
              <w:bottom w:w="55" w:type="dxa"/>
              <w:end w:w="75" w:type="dxa"/>
            </w:tcMar>
          </w:tcPr>
          <w:p>
            <w:pPr>
              <w:spacing w:after="0" w:before="0"/>
            </w:pPr>
            <w:r>
              <w:rPr>
                <w:rFonts w:ascii="Aptos" w:hAnsi="Aptos"/>
                <w:sz w:val="16"/>
              </w:rPr>
              <w:t>90,218</w:t>
            </w:r>
          </w:p>
        </w:tc>
        <w:tc>
          <w:tcPr>
            <w:tcW w:type="dxa" w:w="1752"/>
            <w:vAlign w:val="center"/>
            <w:tcMar>
              <w:top w:w="55" w:type="dxa"/>
              <w:start w:w="75" w:type="dxa"/>
              <w:bottom w:w="55" w:type="dxa"/>
              <w:end w:w="75" w:type="dxa"/>
            </w:tcMar>
          </w:tcPr>
          <w:p>
            <w:pPr>
              <w:spacing w:after="0" w:before="0"/>
            </w:pPr>
            <w:r>
              <w:rPr>
                <w:rFonts w:ascii="Aptos" w:hAnsi="Aptos"/>
                <w:sz w:val="16"/>
              </w:rPr>
              <w:t>31,576</w:t>
            </w:r>
          </w:p>
        </w:tc>
        <w:tc>
          <w:tcPr>
            <w:tcW w:type="dxa" w:w="1752"/>
            <w:vAlign w:val="center"/>
            <w:tcMar>
              <w:top w:w="55" w:type="dxa"/>
              <w:start w:w="75" w:type="dxa"/>
              <w:bottom w:w="55" w:type="dxa"/>
              <w:end w:w="75" w:type="dxa"/>
            </w:tcMar>
          </w:tcPr>
          <w:p>
            <w:pPr>
              <w:spacing w:after="0" w:before="0"/>
            </w:pPr>
            <w:r>
              <w:rPr>
                <w:rFonts w:ascii="Aptos" w:hAnsi="Aptos"/>
                <w:sz w:val="16"/>
              </w:rPr>
              <w:t>4,506</w:t>
            </w:r>
          </w:p>
        </w:tc>
        <w:tc>
          <w:tcPr>
            <w:tcW w:type="dxa" w:w="1752"/>
            <w:vAlign w:val="center"/>
            <w:tcMar>
              <w:top w:w="55" w:type="dxa"/>
              <w:start w:w="75" w:type="dxa"/>
              <w:bottom w:w="55" w:type="dxa"/>
              <w:end w:w="75" w:type="dxa"/>
            </w:tcMar>
          </w:tcPr>
          <w:p>
            <w:pPr>
              <w:spacing w:after="0" w:before="0"/>
            </w:pPr>
            <w:r>
              <w:rPr>
                <w:rFonts w:ascii="Aptos" w:hAnsi="Aptos"/>
                <w:sz w:val="16"/>
              </w:rPr>
              <w:t>481</w:t>
            </w:r>
          </w:p>
        </w:tc>
        <w:tc>
          <w:tcPr>
            <w:tcW w:type="dxa" w:w="1752"/>
            <w:vAlign w:val="center"/>
            <w:tcMar>
              <w:top w:w="55" w:type="dxa"/>
              <w:start w:w="75" w:type="dxa"/>
              <w:bottom w:w="55" w:type="dxa"/>
              <w:end w:w="75" w:type="dxa"/>
            </w:tcMar>
          </w:tcPr>
          <w:p>
            <w:pPr>
              <w:spacing w:after="0" w:before="0"/>
            </w:pPr>
            <w:r>
              <w:rPr>
                <w:rFonts w:ascii="Aptos" w:hAnsi="Aptos"/>
                <w:sz w:val="16"/>
              </w:rPr>
              <w:t>673</w:t>
            </w:r>
          </w:p>
        </w:tc>
      </w:tr>
      <w:tr>
        <w:tc>
          <w:tcPr>
            <w:tcW w:type="dxa" w:w="1752"/>
            <w:vAlign w:val="center"/>
            <w:tcMar>
              <w:top w:w="55" w:type="dxa"/>
              <w:start w:w="75" w:type="dxa"/>
              <w:bottom w:w="55" w:type="dxa"/>
              <w:end w:w="75" w:type="dxa"/>
            </w:tcMar>
          </w:tcPr>
          <w:p>
            <w:pPr>
              <w:spacing w:after="0" w:before="0"/>
            </w:pPr>
            <w:r>
              <w:rPr>
                <w:rFonts w:ascii="Aptos" w:hAnsi="Aptos"/>
                <w:sz w:val="16"/>
              </w:rPr>
              <w:t>100%</w:t>
            </w:r>
          </w:p>
        </w:tc>
        <w:tc>
          <w:tcPr>
            <w:tcW w:type="dxa" w:w="1752"/>
            <w:vAlign w:val="center"/>
            <w:tcMar>
              <w:top w:w="55" w:type="dxa"/>
              <w:start w:w="75" w:type="dxa"/>
              <w:bottom w:w="55" w:type="dxa"/>
              <w:end w:w="75" w:type="dxa"/>
            </w:tcMar>
          </w:tcPr>
          <w:p>
            <w:pPr>
              <w:spacing w:after="0" w:before="0"/>
            </w:pPr>
            <w:r>
              <w:rPr>
                <w:rFonts w:ascii="Aptos" w:hAnsi="Aptos"/>
                <w:sz w:val="16"/>
              </w:rPr>
              <w:t>120,291</w:t>
            </w:r>
          </w:p>
        </w:tc>
        <w:tc>
          <w:tcPr>
            <w:tcW w:type="dxa" w:w="1752"/>
            <w:vAlign w:val="center"/>
            <w:tcMar>
              <w:top w:w="55" w:type="dxa"/>
              <w:start w:w="75" w:type="dxa"/>
              <w:bottom w:w="55" w:type="dxa"/>
              <w:end w:w="75" w:type="dxa"/>
            </w:tcMar>
          </w:tcPr>
          <w:p>
            <w:pPr>
              <w:spacing w:after="0" w:before="0"/>
            </w:pPr>
            <w:r>
              <w:rPr>
                <w:rFonts w:ascii="Aptos" w:hAnsi="Aptos"/>
                <w:sz w:val="16"/>
              </w:rPr>
              <w:t>42,102</w:t>
            </w:r>
          </w:p>
        </w:tc>
        <w:tc>
          <w:tcPr>
            <w:tcW w:type="dxa" w:w="1752"/>
            <w:vAlign w:val="center"/>
            <w:tcMar>
              <w:top w:w="55" w:type="dxa"/>
              <w:start w:w="75" w:type="dxa"/>
              <w:bottom w:w="55" w:type="dxa"/>
              <w:end w:w="75" w:type="dxa"/>
            </w:tcMar>
          </w:tcPr>
          <w:p>
            <w:pPr>
              <w:spacing w:after="0" w:before="0"/>
            </w:pPr>
            <w:r>
              <w:rPr>
                <w:rFonts w:ascii="Aptos" w:hAnsi="Aptos"/>
                <w:sz w:val="16"/>
              </w:rPr>
              <w:t>6,008</w:t>
            </w:r>
          </w:p>
        </w:tc>
        <w:tc>
          <w:tcPr>
            <w:tcW w:type="dxa" w:w="1752"/>
            <w:vAlign w:val="center"/>
            <w:tcMar>
              <w:top w:w="55" w:type="dxa"/>
              <w:start w:w="75" w:type="dxa"/>
              <w:bottom w:w="55" w:type="dxa"/>
              <w:end w:w="75" w:type="dxa"/>
            </w:tcMar>
          </w:tcPr>
          <w:p>
            <w:pPr>
              <w:spacing w:after="0" w:before="0"/>
            </w:pPr>
            <w:r>
              <w:rPr>
                <w:rFonts w:ascii="Aptos" w:hAnsi="Aptos"/>
                <w:sz w:val="16"/>
              </w:rPr>
              <w:t>641</w:t>
            </w:r>
          </w:p>
        </w:tc>
        <w:tc>
          <w:tcPr>
            <w:tcW w:type="dxa" w:w="1752"/>
            <w:vAlign w:val="center"/>
            <w:tcMar>
              <w:top w:w="55" w:type="dxa"/>
              <w:start w:w="75" w:type="dxa"/>
              <w:bottom w:w="55" w:type="dxa"/>
              <w:end w:w="75" w:type="dxa"/>
            </w:tcMar>
          </w:tcPr>
          <w:p>
            <w:pPr>
              <w:spacing w:after="0" w:before="0"/>
            </w:pPr>
            <w:r>
              <w:rPr>
                <w:rFonts w:ascii="Aptos" w:hAnsi="Aptos"/>
                <w:sz w:val="16"/>
              </w:rPr>
              <w:t>897</w:t>
            </w:r>
          </w:p>
        </w:tc>
      </w:tr>
    </w:tbl>
    <w:p>
      <w:r>
        <w:rPr>
          <w:b/>
        </w:rPr>
        <w:t xml:space="preserve">The scale implication is substantial. </w:t>
      </w:r>
      <w:r>
        <w:t>At 50% EV penetration, an L2-first strategy would require roughly 3,004 neighborhood ports for the modeled affected cohort. The equivalent 30-minute L3 requirement is about 320 ports. At full fleet electrification, those figures rise to approximately 6,008 L2 ports versus 641 L3 ports.</w:t>
      </w:r>
    </w:p>
    <w:p>
      <w:pPr>
        <w:pStyle w:val="Heading1"/>
      </w:pPr>
      <w:r>
        <w:t>5. Cross-curb charging changes the infrastructure requirement</w:t>
      </w:r>
    </w:p>
    <w:p>
      <w:r>
        <w:t>A cross-curb permit does more than provide a cheaper charging option to the participating household. It removes that household's routine charging demand from the shared public network.</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55" w:type="dxa"/>
              <w:start w:w="75" w:type="dxa"/>
              <w:bottom w:w="55" w:type="dxa"/>
              <w:end w:w="75" w:type="dxa"/>
            </w:tcMar>
            <w:shd w:fill="DCE6F1"/>
          </w:tcPr>
          <w:p>
            <w:pPr>
              <w:spacing w:after="0" w:before="0"/>
            </w:pPr>
            <w:r>
              <w:rPr>
                <w:rFonts w:ascii="Aptos" w:hAnsi="Aptos"/>
                <w:b/>
                <w:sz w:val="16"/>
              </w:rPr>
              <w:t>EV penetration</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Affected EVs</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If 50% shift home</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Remaining L3 users</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L3 ports, 30-min</w:t>
            </w:r>
          </w:p>
        </w:tc>
        <w:tc>
          <w:tcPr>
            <w:tcW w:type="dxa" w:w="1752"/>
            <w:vAlign w:val="center"/>
            <w:tcMar>
              <w:top w:w="55" w:type="dxa"/>
              <w:start w:w="75" w:type="dxa"/>
              <w:bottom w:w="55" w:type="dxa"/>
              <w:end w:w="75" w:type="dxa"/>
            </w:tcMar>
            <w:shd w:fill="DCE6F1"/>
          </w:tcPr>
          <w:p>
            <w:pPr>
              <w:spacing w:after="0" w:before="0"/>
            </w:pPr>
            <w:r>
              <w:rPr>
                <w:rFonts w:ascii="Aptos" w:hAnsi="Aptos"/>
                <w:b/>
                <w:sz w:val="16"/>
              </w:rPr>
              <w:t>4-port L3 sites</w:t>
            </w:r>
          </w:p>
        </w:tc>
      </w:tr>
      <w:tr>
        <w:tc>
          <w:tcPr>
            <w:tcW w:type="dxa" w:w="1752"/>
            <w:vAlign w:val="center"/>
            <w:tcMar>
              <w:top w:w="55" w:type="dxa"/>
              <w:start w:w="75" w:type="dxa"/>
              <w:bottom w:w="55" w:type="dxa"/>
              <w:end w:w="75" w:type="dxa"/>
            </w:tcMar>
          </w:tcPr>
          <w:p>
            <w:pPr>
              <w:spacing w:after="0" w:before="0"/>
            </w:pPr>
            <w:r>
              <w:rPr>
                <w:rFonts w:ascii="Aptos" w:hAnsi="Aptos"/>
                <w:sz w:val="16"/>
              </w:rPr>
              <w:t>5%</w:t>
            </w:r>
          </w:p>
        </w:tc>
        <w:tc>
          <w:tcPr>
            <w:tcW w:type="dxa" w:w="1752"/>
            <w:vAlign w:val="center"/>
            <w:tcMar>
              <w:top w:w="55" w:type="dxa"/>
              <w:start w:w="75" w:type="dxa"/>
              <w:bottom w:w="55" w:type="dxa"/>
              <w:end w:w="75" w:type="dxa"/>
            </w:tcMar>
          </w:tcPr>
          <w:p>
            <w:pPr>
              <w:spacing w:after="0" w:before="0"/>
            </w:pPr>
            <w:r>
              <w:rPr>
                <w:rFonts w:ascii="Aptos" w:hAnsi="Aptos"/>
                <w:sz w:val="16"/>
              </w:rPr>
              <w:t>2,105</w:t>
            </w:r>
          </w:p>
        </w:tc>
        <w:tc>
          <w:tcPr>
            <w:tcW w:type="dxa" w:w="1752"/>
            <w:vAlign w:val="center"/>
            <w:tcMar>
              <w:top w:w="55" w:type="dxa"/>
              <w:start w:w="75" w:type="dxa"/>
              <w:bottom w:w="55" w:type="dxa"/>
              <w:end w:w="75" w:type="dxa"/>
            </w:tcMar>
          </w:tcPr>
          <w:p>
            <w:pPr>
              <w:spacing w:after="0" w:before="0"/>
            </w:pPr>
            <w:r>
              <w:rPr>
                <w:rFonts w:ascii="Aptos" w:hAnsi="Aptos"/>
                <w:sz w:val="16"/>
              </w:rPr>
              <w:t>1,053</w:t>
            </w:r>
          </w:p>
        </w:tc>
        <w:tc>
          <w:tcPr>
            <w:tcW w:type="dxa" w:w="1752"/>
            <w:vAlign w:val="center"/>
            <w:tcMar>
              <w:top w:w="55" w:type="dxa"/>
              <w:start w:w="75" w:type="dxa"/>
              <w:bottom w:w="55" w:type="dxa"/>
              <w:end w:w="75" w:type="dxa"/>
            </w:tcMar>
          </w:tcPr>
          <w:p>
            <w:pPr>
              <w:spacing w:after="0" w:before="0"/>
            </w:pPr>
            <w:r>
              <w:rPr>
                <w:rFonts w:ascii="Aptos" w:hAnsi="Aptos"/>
                <w:sz w:val="16"/>
              </w:rPr>
              <w:t>1,053</w:t>
            </w:r>
          </w:p>
        </w:tc>
        <w:tc>
          <w:tcPr>
            <w:tcW w:type="dxa" w:w="1752"/>
            <w:vAlign w:val="center"/>
            <w:tcMar>
              <w:top w:w="55" w:type="dxa"/>
              <w:start w:w="75" w:type="dxa"/>
              <w:bottom w:w="55" w:type="dxa"/>
              <w:end w:w="75" w:type="dxa"/>
            </w:tcMar>
          </w:tcPr>
          <w:p>
            <w:pPr>
              <w:spacing w:after="0" w:before="0"/>
            </w:pPr>
            <w:r>
              <w:rPr>
                <w:rFonts w:ascii="Aptos" w:hAnsi="Aptos"/>
                <w:sz w:val="16"/>
              </w:rPr>
              <w:t>16</w:t>
            </w:r>
          </w:p>
        </w:tc>
        <w:tc>
          <w:tcPr>
            <w:tcW w:type="dxa" w:w="1752"/>
            <w:vAlign w:val="center"/>
            <w:tcMar>
              <w:top w:w="55" w:type="dxa"/>
              <w:start w:w="75" w:type="dxa"/>
              <w:bottom w:w="55" w:type="dxa"/>
              <w:end w:w="75" w:type="dxa"/>
            </w:tcMar>
          </w:tcPr>
          <w:p>
            <w:pPr>
              <w:spacing w:after="0" w:before="0"/>
            </w:pPr>
            <w:r>
              <w:rPr>
                <w:rFonts w:ascii="Aptos" w:hAnsi="Aptos"/>
                <w:sz w:val="16"/>
              </w:rPr>
              <w:t>5</w:t>
            </w:r>
          </w:p>
        </w:tc>
      </w:tr>
      <w:tr>
        <w:tc>
          <w:tcPr>
            <w:tcW w:type="dxa" w:w="1752"/>
            <w:vAlign w:val="center"/>
            <w:tcMar>
              <w:top w:w="55" w:type="dxa"/>
              <w:start w:w="75" w:type="dxa"/>
              <w:bottom w:w="55" w:type="dxa"/>
              <w:end w:w="75" w:type="dxa"/>
            </w:tcMar>
          </w:tcPr>
          <w:p>
            <w:pPr>
              <w:spacing w:after="0" w:before="0"/>
            </w:pPr>
            <w:r>
              <w:rPr>
                <w:rFonts w:ascii="Aptos" w:hAnsi="Aptos"/>
                <w:sz w:val="16"/>
              </w:rPr>
              <w:t>10%</w:t>
            </w:r>
          </w:p>
        </w:tc>
        <w:tc>
          <w:tcPr>
            <w:tcW w:type="dxa" w:w="1752"/>
            <w:vAlign w:val="center"/>
            <w:tcMar>
              <w:top w:w="55" w:type="dxa"/>
              <w:start w:w="75" w:type="dxa"/>
              <w:bottom w:w="55" w:type="dxa"/>
              <w:end w:w="75" w:type="dxa"/>
            </w:tcMar>
          </w:tcPr>
          <w:p>
            <w:pPr>
              <w:spacing w:after="0" w:before="0"/>
            </w:pPr>
            <w:r>
              <w:rPr>
                <w:rFonts w:ascii="Aptos" w:hAnsi="Aptos"/>
                <w:sz w:val="16"/>
              </w:rPr>
              <w:t>4,210</w:t>
            </w:r>
          </w:p>
        </w:tc>
        <w:tc>
          <w:tcPr>
            <w:tcW w:type="dxa" w:w="1752"/>
            <w:vAlign w:val="center"/>
            <w:tcMar>
              <w:top w:w="55" w:type="dxa"/>
              <w:start w:w="75" w:type="dxa"/>
              <w:bottom w:w="55" w:type="dxa"/>
              <w:end w:w="75" w:type="dxa"/>
            </w:tcMar>
          </w:tcPr>
          <w:p>
            <w:pPr>
              <w:spacing w:after="0" w:before="0"/>
            </w:pPr>
            <w:r>
              <w:rPr>
                <w:rFonts w:ascii="Aptos" w:hAnsi="Aptos"/>
                <w:sz w:val="16"/>
              </w:rPr>
              <w:t>2,105</w:t>
            </w:r>
          </w:p>
        </w:tc>
        <w:tc>
          <w:tcPr>
            <w:tcW w:type="dxa" w:w="1752"/>
            <w:vAlign w:val="center"/>
            <w:tcMar>
              <w:top w:w="55" w:type="dxa"/>
              <w:start w:w="75" w:type="dxa"/>
              <w:bottom w:w="55" w:type="dxa"/>
              <w:end w:w="75" w:type="dxa"/>
            </w:tcMar>
          </w:tcPr>
          <w:p>
            <w:pPr>
              <w:spacing w:after="0" w:before="0"/>
            </w:pPr>
            <w:r>
              <w:rPr>
                <w:rFonts w:ascii="Aptos" w:hAnsi="Aptos"/>
                <w:sz w:val="16"/>
              </w:rPr>
              <w:t>2,105</w:t>
            </w:r>
          </w:p>
        </w:tc>
        <w:tc>
          <w:tcPr>
            <w:tcW w:type="dxa" w:w="1752"/>
            <w:vAlign w:val="center"/>
            <w:tcMar>
              <w:top w:w="55" w:type="dxa"/>
              <w:start w:w="75" w:type="dxa"/>
              <w:bottom w:w="55" w:type="dxa"/>
              <w:end w:w="75" w:type="dxa"/>
            </w:tcMar>
          </w:tcPr>
          <w:p>
            <w:pPr>
              <w:spacing w:after="0" w:before="0"/>
            </w:pPr>
            <w:r>
              <w:rPr>
                <w:rFonts w:ascii="Aptos" w:hAnsi="Aptos"/>
                <w:sz w:val="16"/>
              </w:rPr>
              <w:t>32</w:t>
            </w:r>
          </w:p>
        </w:tc>
        <w:tc>
          <w:tcPr>
            <w:tcW w:type="dxa" w:w="1752"/>
            <w:vAlign w:val="center"/>
            <w:tcMar>
              <w:top w:w="55" w:type="dxa"/>
              <w:start w:w="75" w:type="dxa"/>
              <w:bottom w:w="55" w:type="dxa"/>
              <w:end w:w="75" w:type="dxa"/>
            </w:tcMar>
          </w:tcPr>
          <w:p>
            <w:pPr>
              <w:spacing w:after="0" w:before="0"/>
            </w:pPr>
            <w:r>
              <w:rPr>
                <w:rFonts w:ascii="Aptos" w:hAnsi="Aptos"/>
                <w:sz w:val="16"/>
              </w:rPr>
              <w:t>9</w:t>
            </w:r>
          </w:p>
        </w:tc>
      </w:tr>
      <w:tr>
        <w:tc>
          <w:tcPr>
            <w:tcW w:type="dxa" w:w="1752"/>
            <w:vAlign w:val="center"/>
            <w:tcMar>
              <w:top w:w="55" w:type="dxa"/>
              <w:start w:w="75" w:type="dxa"/>
              <w:bottom w:w="55" w:type="dxa"/>
              <w:end w:w="75" w:type="dxa"/>
            </w:tcMar>
          </w:tcPr>
          <w:p>
            <w:pPr>
              <w:spacing w:after="0" w:before="0"/>
            </w:pPr>
            <w:r>
              <w:rPr>
                <w:rFonts w:ascii="Aptos" w:hAnsi="Aptos"/>
                <w:sz w:val="16"/>
              </w:rPr>
              <w:t>25%</w:t>
            </w:r>
          </w:p>
        </w:tc>
        <w:tc>
          <w:tcPr>
            <w:tcW w:type="dxa" w:w="1752"/>
            <w:vAlign w:val="center"/>
            <w:tcMar>
              <w:top w:w="55" w:type="dxa"/>
              <w:start w:w="75" w:type="dxa"/>
              <w:bottom w:w="55" w:type="dxa"/>
              <w:end w:w="75" w:type="dxa"/>
            </w:tcMar>
          </w:tcPr>
          <w:p>
            <w:pPr>
              <w:spacing w:after="0" w:before="0"/>
            </w:pPr>
            <w:r>
              <w:rPr>
                <w:rFonts w:ascii="Aptos" w:hAnsi="Aptos"/>
                <w:sz w:val="16"/>
              </w:rPr>
              <w:t>10,525</w:t>
            </w:r>
          </w:p>
        </w:tc>
        <w:tc>
          <w:tcPr>
            <w:tcW w:type="dxa" w:w="1752"/>
            <w:vAlign w:val="center"/>
            <w:tcMar>
              <w:top w:w="55" w:type="dxa"/>
              <w:start w:w="75" w:type="dxa"/>
              <w:bottom w:w="55" w:type="dxa"/>
              <w:end w:w="75" w:type="dxa"/>
            </w:tcMar>
          </w:tcPr>
          <w:p>
            <w:pPr>
              <w:spacing w:after="0" w:before="0"/>
            </w:pPr>
            <w:r>
              <w:rPr>
                <w:rFonts w:ascii="Aptos" w:hAnsi="Aptos"/>
                <w:sz w:val="16"/>
              </w:rPr>
              <w:t>5,263</w:t>
            </w:r>
          </w:p>
        </w:tc>
        <w:tc>
          <w:tcPr>
            <w:tcW w:type="dxa" w:w="1752"/>
            <w:vAlign w:val="center"/>
            <w:tcMar>
              <w:top w:w="55" w:type="dxa"/>
              <w:start w:w="75" w:type="dxa"/>
              <w:bottom w:w="55" w:type="dxa"/>
              <w:end w:w="75" w:type="dxa"/>
            </w:tcMar>
          </w:tcPr>
          <w:p>
            <w:pPr>
              <w:spacing w:after="0" w:before="0"/>
            </w:pPr>
            <w:r>
              <w:rPr>
                <w:rFonts w:ascii="Aptos" w:hAnsi="Aptos"/>
                <w:sz w:val="16"/>
              </w:rPr>
              <w:t>5,263</w:t>
            </w:r>
          </w:p>
        </w:tc>
        <w:tc>
          <w:tcPr>
            <w:tcW w:type="dxa" w:w="1752"/>
            <w:vAlign w:val="center"/>
            <w:tcMar>
              <w:top w:w="55" w:type="dxa"/>
              <w:start w:w="75" w:type="dxa"/>
              <w:bottom w:w="55" w:type="dxa"/>
              <w:end w:w="75" w:type="dxa"/>
            </w:tcMar>
          </w:tcPr>
          <w:p>
            <w:pPr>
              <w:spacing w:after="0" w:before="0"/>
            </w:pPr>
            <w:r>
              <w:rPr>
                <w:rFonts w:ascii="Aptos" w:hAnsi="Aptos"/>
                <w:sz w:val="16"/>
              </w:rPr>
              <w:t>80</w:t>
            </w:r>
          </w:p>
        </w:tc>
        <w:tc>
          <w:tcPr>
            <w:tcW w:type="dxa" w:w="1752"/>
            <w:vAlign w:val="center"/>
            <w:tcMar>
              <w:top w:w="55" w:type="dxa"/>
              <w:start w:w="75" w:type="dxa"/>
              <w:bottom w:w="55" w:type="dxa"/>
              <w:end w:w="75" w:type="dxa"/>
            </w:tcMar>
          </w:tcPr>
          <w:p>
            <w:pPr>
              <w:spacing w:after="0" w:before="0"/>
            </w:pPr>
            <w:r>
              <w:rPr>
                <w:rFonts w:ascii="Aptos" w:hAnsi="Aptos"/>
                <w:sz w:val="16"/>
              </w:rPr>
              <w:t>21</w:t>
            </w:r>
          </w:p>
        </w:tc>
      </w:tr>
      <w:tr>
        <w:tc>
          <w:tcPr>
            <w:tcW w:type="dxa" w:w="1752"/>
            <w:vAlign w:val="center"/>
            <w:tcMar>
              <w:top w:w="55" w:type="dxa"/>
              <w:start w:w="75" w:type="dxa"/>
              <w:bottom w:w="55" w:type="dxa"/>
              <w:end w:w="75" w:type="dxa"/>
            </w:tcMar>
          </w:tcPr>
          <w:p>
            <w:pPr>
              <w:spacing w:after="0" w:before="0"/>
            </w:pPr>
            <w:r>
              <w:rPr>
                <w:rFonts w:ascii="Aptos" w:hAnsi="Aptos"/>
                <w:sz w:val="16"/>
              </w:rPr>
              <w:t>50%</w:t>
            </w:r>
          </w:p>
        </w:tc>
        <w:tc>
          <w:tcPr>
            <w:tcW w:type="dxa" w:w="1752"/>
            <w:vAlign w:val="center"/>
            <w:tcMar>
              <w:top w:w="55" w:type="dxa"/>
              <w:start w:w="75" w:type="dxa"/>
              <w:bottom w:w="55" w:type="dxa"/>
              <w:end w:w="75" w:type="dxa"/>
            </w:tcMar>
          </w:tcPr>
          <w:p>
            <w:pPr>
              <w:spacing w:after="0" w:before="0"/>
            </w:pPr>
            <w:r>
              <w:rPr>
                <w:rFonts w:ascii="Aptos" w:hAnsi="Aptos"/>
                <w:sz w:val="16"/>
              </w:rPr>
              <w:t>21,051</w:t>
            </w:r>
          </w:p>
        </w:tc>
        <w:tc>
          <w:tcPr>
            <w:tcW w:type="dxa" w:w="1752"/>
            <w:vAlign w:val="center"/>
            <w:tcMar>
              <w:top w:w="55" w:type="dxa"/>
              <w:start w:w="75" w:type="dxa"/>
              <w:bottom w:w="55" w:type="dxa"/>
              <w:end w:w="75" w:type="dxa"/>
            </w:tcMar>
          </w:tcPr>
          <w:p>
            <w:pPr>
              <w:spacing w:after="0" w:before="0"/>
            </w:pPr>
            <w:r>
              <w:rPr>
                <w:rFonts w:ascii="Aptos" w:hAnsi="Aptos"/>
                <w:sz w:val="16"/>
              </w:rPr>
              <w:t>10,525</w:t>
            </w:r>
          </w:p>
        </w:tc>
        <w:tc>
          <w:tcPr>
            <w:tcW w:type="dxa" w:w="1752"/>
            <w:vAlign w:val="center"/>
            <w:tcMar>
              <w:top w:w="55" w:type="dxa"/>
              <w:start w:w="75" w:type="dxa"/>
              <w:bottom w:w="55" w:type="dxa"/>
              <w:end w:w="75" w:type="dxa"/>
            </w:tcMar>
          </w:tcPr>
          <w:p>
            <w:pPr>
              <w:spacing w:after="0" w:before="0"/>
            </w:pPr>
            <w:r>
              <w:rPr>
                <w:rFonts w:ascii="Aptos" w:hAnsi="Aptos"/>
                <w:sz w:val="16"/>
              </w:rPr>
              <w:t>10,525</w:t>
            </w:r>
          </w:p>
        </w:tc>
        <w:tc>
          <w:tcPr>
            <w:tcW w:type="dxa" w:w="1752"/>
            <w:vAlign w:val="center"/>
            <w:tcMar>
              <w:top w:w="55" w:type="dxa"/>
              <w:start w:w="75" w:type="dxa"/>
              <w:bottom w:w="55" w:type="dxa"/>
              <w:end w:w="75" w:type="dxa"/>
            </w:tcMar>
          </w:tcPr>
          <w:p>
            <w:pPr>
              <w:spacing w:after="0" w:before="0"/>
            </w:pPr>
            <w:r>
              <w:rPr>
                <w:rFonts w:ascii="Aptos" w:hAnsi="Aptos"/>
                <w:sz w:val="16"/>
              </w:rPr>
              <w:t>160</w:t>
            </w:r>
          </w:p>
        </w:tc>
        <w:tc>
          <w:tcPr>
            <w:tcW w:type="dxa" w:w="1752"/>
            <w:vAlign w:val="center"/>
            <w:tcMar>
              <w:top w:w="55" w:type="dxa"/>
              <w:start w:w="75" w:type="dxa"/>
              <w:bottom w:w="55" w:type="dxa"/>
              <w:end w:w="75" w:type="dxa"/>
            </w:tcMar>
          </w:tcPr>
          <w:p>
            <w:pPr>
              <w:spacing w:after="0" w:before="0"/>
            </w:pPr>
            <w:r>
              <w:rPr>
                <w:rFonts w:ascii="Aptos" w:hAnsi="Aptos"/>
                <w:sz w:val="16"/>
              </w:rPr>
              <w:t>41</w:t>
            </w:r>
          </w:p>
        </w:tc>
      </w:tr>
      <w:tr>
        <w:tc>
          <w:tcPr>
            <w:tcW w:type="dxa" w:w="1752"/>
            <w:vAlign w:val="center"/>
            <w:tcMar>
              <w:top w:w="55" w:type="dxa"/>
              <w:start w:w="75" w:type="dxa"/>
              <w:bottom w:w="55" w:type="dxa"/>
              <w:end w:w="75" w:type="dxa"/>
            </w:tcMar>
          </w:tcPr>
          <w:p>
            <w:pPr>
              <w:spacing w:after="0" w:before="0"/>
            </w:pPr>
            <w:r>
              <w:rPr>
                <w:rFonts w:ascii="Aptos" w:hAnsi="Aptos"/>
                <w:sz w:val="16"/>
              </w:rPr>
              <w:t>75%</w:t>
            </w:r>
          </w:p>
        </w:tc>
        <w:tc>
          <w:tcPr>
            <w:tcW w:type="dxa" w:w="1752"/>
            <w:vAlign w:val="center"/>
            <w:tcMar>
              <w:top w:w="55" w:type="dxa"/>
              <w:start w:w="75" w:type="dxa"/>
              <w:bottom w:w="55" w:type="dxa"/>
              <w:end w:w="75" w:type="dxa"/>
            </w:tcMar>
          </w:tcPr>
          <w:p>
            <w:pPr>
              <w:spacing w:after="0" w:before="0"/>
            </w:pPr>
            <w:r>
              <w:rPr>
                <w:rFonts w:ascii="Aptos" w:hAnsi="Aptos"/>
                <w:sz w:val="16"/>
              </w:rPr>
              <w:t>31,576</w:t>
            </w:r>
          </w:p>
        </w:tc>
        <w:tc>
          <w:tcPr>
            <w:tcW w:type="dxa" w:w="1752"/>
            <w:vAlign w:val="center"/>
            <w:tcMar>
              <w:top w:w="55" w:type="dxa"/>
              <w:start w:w="75" w:type="dxa"/>
              <w:bottom w:w="55" w:type="dxa"/>
              <w:end w:w="75" w:type="dxa"/>
            </w:tcMar>
          </w:tcPr>
          <w:p>
            <w:pPr>
              <w:spacing w:after="0" w:before="0"/>
            </w:pPr>
            <w:r>
              <w:rPr>
                <w:rFonts w:ascii="Aptos" w:hAnsi="Aptos"/>
                <w:sz w:val="16"/>
              </w:rPr>
              <w:t>15,788</w:t>
            </w:r>
          </w:p>
        </w:tc>
        <w:tc>
          <w:tcPr>
            <w:tcW w:type="dxa" w:w="1752"/>
            <w:vAlign w:val="center"/>
            <w:tcMar>
              <w:top w:w="55" w:type="dxa"/>
              <w:start w:w="75" w:type="dxa"/>
              <w:bottom w:w="55" w:type="dxa"/>
              <w:end w:w="75" w:type="dxa"/>
            </w:tcMar>
          </w:tcPr>
          <w:p>
            <w:pPr>
              <w:spacing w:after="0" w:before="0"/>
            </w:pPr>
            <w:r>
              <w:rPr>
                <w:rFonts w:ascii="Aptos" w:hAnsi="Aptos"/>
                <w:sz w:val="16"/>
              </w:rPr>
              <w:t>15,788</w:t>
            </w:r>
          </w:p>
        </w:tc>
        <w:tc>
          <w:tcPr>
            <w:tcW w:type="dxa" w:w="1752"/>
            <w:vAlign w:val="center"/>
            <w:tcMar>
              <w:top w:w="55" w:type="dxa"/>
              <w:start w:w="75" w:type="dxa"/>
              <w:bottom w:w="55" w:type="dxa"/>
              <w:end w:w="75" w:type="dxa"/>
            </w:tcMar>
          </w:tcPr>
          <w:p>
            <w:pPr>
              <w:spacing w:after="0" w:before="0"/>
            </w:pPr>
            <w:r>
              <w:rPr>
                <w:rFonts w:ascii="Aptos" w:hAnsi="Aptos"/>
                <w:sz w:val="16"/>
              </w:rPr>
              <w:t>240</w:t>
            </w:r>
          </w:p>
        </w:tc>
        <w:tc>
          <w:tcPr>
            <w:tcW w:type="dxa" w:w="1752"/>
            <w:vAlign w:val="center"/>
            <w:tcMar>
              <w:top w:w="55" w:type="dxa"/>
              <w:start w:w="75" w:type="dxa"/>
              <w:bottom w:w="55" w:type="dxa"/>
              <w:end w:w="75" w:type="dxa"/>
            </w:tcMar>
          </w:tcPr>
          <w:p>
            <w:pPr>
              <w:spacing w:after="0" w:before="0"/>
            </w:pPr>
            <w:r>
              <w:rPr>
                <w:rFonts w:ascii="Aptos" w:hAnsi="Aptos"/>
                <w:sz w:val="16"/>
              </w:rPr>
              <w:t>61</w:t>
            </w:r>
          </w:p>
        </w:tc>
      </w:tr>
      <w:tr>
        <w:tc>
          <w:tcPr>
            <w:tcW w:type="dxa" w:w="1752"/>
            <w:vAlign w:val="center"/>
            <w:tcMar>
              <w:top w:w="55" w:type="dxa"/>
              <w:start w:w="75" w:type="dxa"/>
              <w:bottom w:w="55" w:type="dxa"/>
              <w:end w:w="75" w:type="dxa"/>
            </w:tcMar>
          </w:tcPr>
          <w:p>
            <w:pPr>
              <w:spacing w:after="0" w:before="0"/>
            </w:pPr>
            <w:r>
              <w:rPr>
                <w:rFonts w:ascii="Aptos" w:hAnsi="Aptos"/>
                <w:sz w:val="16"/>
              </w:rPr>
              <w:t>100%</w:t>
            </w:r>
          </w:p>
        </w:tc>
        <w:tc>
          <w:tcPr>
            <w:tcW w:type="dxa" w:w="1752"/>
            <w:vAlign w:val="center"/>
            <w:tcMar>
              <w:top w:w="55" w:type="dxa"/>
              <w:start w:w="75" w:type="dxa"/>
              <w:bottom w:w="55" w:type="dxa"/>
              <w:end w:w="75" w:type="dxa"/>
            </w:tcMar>
          </w:tcPr>
          <w:p>
            <w:pPr>
              <w:spacing w:after="0" w:before="0"/>
            </w:pPr>
            <w:r>
              <w:rPr>
                <w:rFonts w:ascii="Aptos" w:hAnsi="Aptos"/>
                <w:sz w:val="16"/>
              </w:rPr>
              <w:t>42,102</w:t>
            </w:r>
          </w:p>
        </w:tc>
        <w:tc>
          <w:tcPr>
            <w:tcW w:type="dxa" w:w="1752"/>
            <w:vAlign w:val="center"/>
            <w:tcMar>
              <w:top w:w="55" w:type="dxa"/>
              <w:start w:w="75" w:type="dxa"/>
              <w:bottom w:w="55" w:type="dxa"/>
              <w:end w:w="75" w:type="dxa"/>
            </w:tcMar>
          </w:tcPr>
          <w:p>
            <w:pPr>
              <w:spacing w:after="0" w:before="0"/>
            </w:pPr>
            <w:r>
              <w:rPr>
                <w:rFonts w:ascii="Aptos" w:hAnsi="Aptos"/>
                <w:sz w:val="16"/>
              </w:rPr>
              <w:t>21,051</w:t>
            </w:r>
          </w:p>
        </w:tc>
        <w:tc>
          <w:tcPr>
            <w:tcW w:type="dxa" w:w="1752"/>
            <w:vAlign w:val="center"/>
            <w:tcMar>
              <w:top w:w="55" w:type="dxa"/>
              <w:start w:w="75" w:type="dxa"/>
              <w:bottom w:w="55" w:type="dxa"/>
              <w:end w:w="75" w:type="dxa"/>
            </w:tcMar>
          </w:tcPr>
          <w:p>
            <w:pPr>
              <w:spacing w:after="0" w:before="0"/>
            </w:pPr>
            <w:r>
              <w:rPr>
                <w:rFonts w:ascii="Aptos" w:hAnsi="Aptos"/>
                <w:sz w:val="16"/>
              </w:rPr>
              <w:t>21,051</w:t>
            </w:r>
          </w:p>
        </w:tc>
        <w:tc>
          <w:tcPr>
            <w:tcW w:type="dxa" w:w="1752"/>
            <w:vAlign w:val="center"/>
            <w:tcMar>
              <w:top w:w="55" w:type="dxa"/>
              <w:start w:w="75" w:type="dxa"/>
              <w:bottom w:w="55" w:type="dxa"/>
              <w:end w:w="75" w:type="dxa"/>
            </w:tcMar>
          </w:tcPr>
          <w:p>
            <w:pPr>
              <w:spacing w:after="0" w:before="0"/>
            </w:pPr>
            <w:r>
              <w:rPr>
                <w:rFonts w:ascii="Aptos" w:hAnsi="Aptos"/>
                <w:sz w:val="16"/>
              </w:rPr>
              <w:t>320</w:t>
            </w:r>
          </w:p>
        </w:tc>
        <w:tc>
          <w:tcPr>
            <w:tcW w:type="dxa" w:w="1752"/>
            <w:vAlign w:val="center"/>
            <w:tcMar>
              <w:top w:w="55" w:type="dxa"/>
              <w:start w:w="75" w:type="dxa"/>
              <w:bottom w:w="55" w:type="dxa"/>
              <w:end w:w="75" w:type="dxa"/>
            </w:tcMar>
          </w:tcPr>
          <w:p>
            <w:pPr>
              <w:spacing w:after="0" w:before="0"/>
            </w:pPr>
            <w:r>
              <w:rPr>
                <w:rFonts w:ascii="Aptos" w:hAnsi="Aptos"/>
                <w:sz w:val="16"/>
              </w:rPr>
              <w:t>81</w:t>
            </w:r>
          </w:p>
        </w:tc>
      </w:tr>
    </w:tbl>
    <w:p>
      <w:pPr>
        <w:pStyle w:val="Heading1"/>
      </w:pPr>
      <w:r>
        <w:t>6. Aggregate burden on Alexandria EV owners</w:t>
      </w:r>
    </w:p>
    <w:p>
      <w:r>
        <w:t>The following table multiplies per-driver annual burden by the affected 35% cohort. These are not City expenditures. They represent household electricity, annualized home-equipment/insurance costs where applicable, and the monetized value of charging-related time.</w:t>
      </w:r>
    </w:p>
    <w:tbl>
      <w:tblPr>
        <w:tblStyle w:val="TableGrid"/>
        <w:tblW w:type="auto" w:w="0"/>
        <w:jc w:val="center"/>
        <w:tblLook w:firstColumn="1" w:firstRow="1" w:lastColumn="0" w:lastRow="0" w:noHBand="0" w:noVBand="1" w:val="04A0"/>
      </w:tblPr>
      <w:tblGrid>
        <w:gridCol w:w="1752"/>
        <w:gridCol w:w="1752"/>
        <w:gridCol w:w="1752"/>
        <w:gridCol w:w="1752"/>
        <w:gridCol w:w="1752"/>
        <w:gridCol w:w="1752"/>
      </w:tblGrid>
      <w:tr>
        <w:tc>
          <w:tcPr>
            <w:tcW w:type="dxa" w:w="1752"/>
            <w:vAlign w:val="center"/>
            <w:tcMar>
              <w:top w:w="55" w:type="dxa"/>
              <w:start w:w="75" w:type="dxa"/>
              <w:bottom w:w="55" w:type="dxa"/>
              <w:end w:w="75" w:type="dxa"/>
            </w:tcMar>
            <w:shd w:fill="DCE6F1"/>
          </w:tcPr>
          <w:p>
            <w:pPr>
              <w:spacing w:after="0" w:before="0"/>
            </w:pPr>
            <w:r>
              <w:rPr>
                <w:rFonts w:ascii="Aptos" w:hAnsi="Aptos"/>
                <w:b/>
                <w:sz w:val="15"/>
              </w:rPr>
              <w:t>EV penetration</w:t>
            </w:r>
          </w:p>
        </w:tc>
        <w:tc>
          <w:tcPr>
            <w:tcW w:type="dxa" w:w="1752"/>
            <w:vAlign w:val="center"/>
            <w:tcMar>
              <w:top w:w="55" w:type="dxa"/>
              <w:start w:w="75" w:type="dxa"/>
              <w:bottom w:w="55" w:type="dxa"/>
              <w:end w:w="75" w:type="dxa"/>
            </w:tcMar>
            <w:shd w:fill="DCE6F1"/>
          </w:tcPr>
          <w:p>
            <w:pPr>
              <w:spacing w:after="0" w:before="0"/>
            </w:pPr>
            <w:r>
              <w:rPr>
                <w:rFonts w:ascii="Aptos" w:hAnsi="Aptos"/>
                <w:b/>
                <w:sz w:val="15"/>
              </w:rPr>
              <w:t>Affected owners</w:t>
            </w:r>
          </w:p>
        </w:tc>
        <w:tc>
          <w:tcPr>
            <w:tcW w:type="dxa" w:w="1752"/>
            <w:vAlign w:val="center"/>
            <w:tcMar>
              <w:top w:w="55" w:type="dxa"/>
              <w:start w:w="75" w:type="dxa"/>
              <w:bottom w:w="55" w:type="dxa"/>
              <w:end w:w="75" w:type="dxa"/>
            </w:tcMar>
            <w:shd w:fill="DCE6F1"/>
          </w:tcPr>
          <w:p>
            <w:pPr>
              <w:spacing w:after="0" w:before="0"/>
            </w:pPr>
            <w:r>
              <w:rPr>
                <w:rFonts w:ascii="Aptos" w:hAnsi="Aptos"/>
                <w:b/>
                <w:sz w:val="15"/>
              </w:rPr>
              <w:t>L2-first burden</w:t>
            </w:r>
          </w:p>
        </w:tc>
        <w:tc>
          <w:tcPr>
            <w:tcW w:type="dxa" w:w="1752"/>
            <w:vAlign w:val="center"/>
            <w:tcMar>
              <w:top w:w="55" w:type="dxa"/>
              <w:start w:w="75" w:type="dxa"/>
              <w:bottom w:w="55" w:type="dxa"/>
              <w:end w:w="75" w:type="dxa"/>
            </w:tcMar>
            <w:shd w:fill="DCE6F1"/>
          </w:tcPr>
          <w:p>
            <w:pPr>
              <w:spacing w:after="0" w:before="0"/>
            </w:pPr>
            <w:r>
              <w:rPr>
                <w:rFonts w:ascii="Aptos" w:hAnsi="Aptos"/>
                <w:b/>
                <w:sz w:val="15"/>
              </w:rPr>
              <w:t>L3-only burden</w:t>
            </w:r>
          </w:p>
        </w:tc>
        <w:tc>
          <w:tcPr>
            <w:tcW w:type="dxa" w:w="1752"/>
            <w:vAlign w:val="center"/>
            <w:tcMar>
              <w:top w:w="55" w:type="dxa"/>
              <w:start w:w="75" w:type="dxa"/>
              <w:bottom w:w="55" w:type="dxa"/>
              <w:end w:w="75" w:type="dxa"/>
            </w:tcMar>
            <w:shd w:fill="DCE6F1"/>
          </w:tcPr>
          <w:p>
            <w:pPr>
              <w:spacing w:after="0" w:before="0"/>
            </w:pPr>
            <w:r>
              <w:rPr>
                <w:rFonts w:ascii="Aptos" w:hAnsi="Aptos"/>
                <w:b/>
                <w:sz w:val="15"/>
              </w:rPr>
              <w:t>50% home + 50% L3</w:t>
            </w:r>
          </w:p>
        </w:tc>
        <w:tc>
          <w:tcPr>
            <w:tcW w:type="dxa" w:w="1752"/>
            <w:vAlign w:val="center"/>
            <w:tcMar>
              <w:top w:w="55" w:type="dxa"/>
              <w:start w:w="75" w:type="dxa"/>
              <w:bottom w:w="55" w:type="dxa"/>
              <w:end w:w="75" w:type="dxa"/>
            </w:tcMar>
            <w:shd w:fill="DCE6F1"/>
          </w:tcPr>
          <w:p>
            <w:pPr>
              <w:spacing w:after="0" w:before="0"/>
            </w:pPr>
            <w:r>
              <w:rPr>
                <w:rFonts w:ascii="Aptos" w:hAnsi="Aptos"/>
                <w:b/>
                <w:sz w:val="15"/>
              </w:rPr>
              <w:t>If all affected can charge home</w:t>
            </w:r>
          </w:p>
        </w:tc>
      </w:tr>
      <w:tr>
        <w:tc>
          <w:tcPr>
            <w:tcW w:type="dxa" w:w="1752"/>
            <w:vAlign w:val="center"/>
            <w:tcMar>
              <w:top w:w="55" w:type="dxa"/>
              <w:start w:w="75" w:type="dxa"/>
              <w:bottom w:w="55" w:type="dxa"/>
              <w:end w:w="75" w:type="dxa"/>
            </w:tcMar>
          </w:tcPr>
          <w:p>
            <w:pPr>
              <w:spacing w:after="0" w:before="0"/>
            </w:pPr>
            <w:r>
              <w:rPr>
                <w:rFonts w:ascii="Aptos" w:hAnsi="Aptos"/>
                <w:sz w:val="15"/>
              </w:rPr>
              <w:t>5%</w:t>
            </w:r>
          </w:p>
        </w:tc>
        <w:tc>
          <w:tcPr>
            <w:tcW w:type="dxa" w:w="1752"/>
            <w:vAlign w:val="center"/>
            <w:tcMar>
              <w:top w:w="55" w:type="dxa"/>
              <w:start w:w="75" w:type="dxa"/>
              <w:bottom w:w="55" w:type="dxa"/>
              <w:end w:w="75" w:type="dxa"/>
            </w:tcMar>
          </w:tcPr>
          <w:p>
            <w:pPr>
              <w:spacing w:after="0" w:before="0"/>
            </w:pPr>
            <w:r>
              <w:rPr>
                <w:rFonts w:ascii="Aptos" w:hAnsi="Aptos"/>
                <w:sz w:val="15"/>
              </w:rPr>
              <w:t>2,105</w:t>
            </w:r>
          </w:p>
        </w:tc>
        <w:tc>
          <w:tcPr>
            <w:tcW w:type="dxa" w:w="1752"/>
            <w:vAlign w:val="center"/>
            <w:tcMar>
              <w:top w:w="55" w:type="dxa"/>
              <w:start w:w="75" w:type="dxa"/>
              <w:bottom w:w="55" w:type="dxa"/>
              <w:end w:w="75" w:type="dxa"/>
            </w:tcMar>
          </w:tcPr>
          <w:p>
            <w:pPr>
              <w:spacing w:after="0" w:before="0"/>
            </w:pPr>
            <w:r>
              <w:rPr>
                <w:rFonts w:ascii="Aptos" w:hAnsi="Aptos"/>
                <w:sz w:val="15"/>
              </w:rPr>
              <w:t>$12.1M</w:t>
            </w:r>
          </w:p>
        </w:tc>
        <w:tc>
          <w:tcPr>
            <w:tcW w:type="dxa" w:w="1752"/>
            <w:vAlign w:val="center"/>
            <w:tcMar>
              <w:top w:w="55" w:type="dxa"/>
              <w:start w:w="75" w:type="dxa"/>
              <w:bottom w:w="55" w:type="dxa"/>
              <w:end w:w="75" w:type="dxa"/>
            </w:tcMar>
          </w:tcPr>
          <w:p>
            <w:pPr>
              <w:spacing w:after="0" w:before="0"/>
            </w:pPr>
            <w:r>
              <w:rPr>
                <w:rFonts w:ascii="Aptos" w:hAnsi="Aptos"/>
                <w:sz w:val="15"/>
              </w:rPr>
              <w:t>$11.4M</w:t>
            </w:r>
          </w:p>
        </w:tc>
        <w:tc>
          <w:tcPr>
            <w:tcW w:type="dxa" w:w="1752"/>
            <w:vAlign w:val="center"/>
            <w:tcMar>
              <w:top w:w="55" w:type="dxa"/>
              <w:start w:w="75" w:type="dxa"/>
              <w:bottom w:w="55" w:type="dxa"/>
              <w:end w:w="75" w:type="dxa"/>
            </w:tcMar>
          </w:tcPr>
          <w:p>
            <w:pPr>
              <w:spacing w:after="0" w:before="0"/>
            </w:pPr>
            <w:r>
              <w:rPr>
                <w:rFonts w:ascii="Aptos" w:hAnsi="Aptos"/>
                <w:sz w:val="15"/>
              </w:rPr>
              <w:t>$6.9M</w:t>
            </w:r>
          </w:p>
        </w:tc>
        <w:tc>
          <w:tcPr>
            <w:tcW w:type="dxa" w:w="1752"/>
            <w:vAlign w:val="center"/>
            <w:tcMar>
              <w:top w:w="55" w:type="dxa"/>
              <w:start w:w="75" w:type="dxa"/>
              <w:bottom w:w="55" w:type="dxa"/>
              <w:end w:w="75" w:type="dxa"/>
            </w:tcMar>
          </w:tcPr>
          <w:p>
            <w:pPr>
              <w:spacing w:after="0" w:before="0"/>
            </w:pPr>
            <w:r>
              <w:rPr>
                <w:rFonts w:ascii="Aptos" w:hAnsi="Aptos"/>
                <w:sz w:val="15"/>
              </w:rPr>
              <w:t>$2.4M</w:t>
            </w:r>
          </w:p>
        </w:tc>
      </w:tr>
      <w:tr>
        <w:tc>
          <w:tcPr>
            <w:tcW w:type="dxa" w:w="1752"/>
            <w:vAlign w:val="center"/>
            <w:tcMar>
              <w:top w:w="55" w:type="dxa"/>
              <w:start w:w="75" w:type="dxa"/>
              <w:bottom w:w="55" w:type="dxa"/>
              <w:end w:w="75" w:type="dxa"/>
            </w:tcMar>
          </w:tcPr>
          <w:p>
            <w:pPr>
              <w:spacing w:after="0" w:before="0"/>
            </w:pPr>
            <w:r>
              <w:rPr>
                <w:rFonts w:ascii="Aptos" w:hAnsi="Aptos"/>
                <w:sz w:val="15"/>
              </w:rPr>
              <w:t>10%</w:t>
            </w:r>
          </w:p>
        </w:tc>
        <w:tc>
          <w:tcPr>
            <w:tcW w:type="dxa" w:w="1752"/>
            <w:vAlign w:val="center"/>
            <w:tcMar>
              <w:top w:w="55" w:type="dxa"/>
              <w:start w:w="75" w:type="dxa"/>
              <w:bottom w:w="55" w:type="dxa"/>
              <w:end w:w="75" w:type="dxa"/>
            </w:tcMar>
          </w:tcPr>
          <w:p>
            <w:pPr>
              <w:spacing w:after="0" w:before="0"/>
            </w:pPr>
            <w:r>
              <w:rPr>
                <w:rFonts w:ascii="Aptos" w:hAnsi="Aptos"/>
                <w:sz w:val="15"/>
              </w:rPr>
              <w:t>4,210</w:t>
            </w:r>
          </w:p>
        </w:tc>
        <w:tc>
          <w:tcPr>
            <w:tcW w:type="dxa" w:w="1752"/>
            <w:vAlign w:val="center"/>
            <w:tcMar>
              <w:top w:w="55" w:type="dxa"/>
              <w:start w:w="75" w:type="dxa"/>
              <w:bottom w:w="55" w:type="dxa"/>
              <w:end w:w="75" w:type="dxa"/>
            </w:tcMar>
          </w:tcPr>
          <w:p>
            <w:pPr>
              <w:spacing w:after="0" w:before="0"/>
            </w:pPr>
            <w:r>
              <w:rPr>
                <w:rFonts w:ascii="Aptos" w:hAnsi="Aptos"/>
                <w:sz w:val="15"/>
              </w:rPr>
              <w:t>$24.1M</w:t>
            </w:r>
          </w:p>
        </w:tc>
        <w:tc>
          <w:tcPr>
            <w:tcW w:type="dxa" w:w="1752"/>
            <w:vAlign w:val="center"/>
            <w:tcMar>
              <w:top w:w="55" w:type="dxa"/>
              <w:start w:w="75" w:type="dxa"/>
              <w:bottom w:w="55" w:type="dxa"/>
              <w:end w:w="75" w:type="dxa"/>
            </w:tcMar>
          </w:tcPr>
          <w:p>
            <w:pPr>
              <w:spacing w:after="0" w:before="0"/>
            </w:pPr>
            <w:r>
              <w:rPr>
                <w:rFonts w:ascii="Aptos" w:hAnsi="Aptos"/>
                <w:sz w:val="15"/>
              </w:rPr>
              <w:t>$22.8M</w:t>
            </w:r>
          </w:p>
        </w:tc>
        <w:tc>
          <w:tcPr>
            <w:tcW w:type="dxa" w:w="1752"/>
            <w:vAlign w:val="center"/>
            <w:tcMar>
              <w:top w:w="55" w:type="dxa"/>
              <w:start w:w="75" w:type="dxa"/>
              <w:bottom w:w="55" w:type="dxa"/>
              <w:end w:w="75" w:type="dxa"/>
            </w:tcMar>
          </w:tcPr>
          <w:p>
            <w:pPr>
              <w:spacing w:after="0" w:before="0"/>
            </w:pPr>
            <w:r>
              <w:rPr>
                <w:rFonts w:ascii="Aptos" w:hAnsi="Aptos"/>
                <w:sz w:val="15"/>
              </w:rPr>
              <w:t>$13.8M</w:t>
            </w:r>
          </w:p>
        </w:tc>
        <w:tc>
          <w:tcPr>
            <w:tcW w:type="dxa" w:w="1752"/>
            <w:vAlign w:val="center"/>
            <w:tcMar>
              <w:top w:w="55" w:type="dxa"/>
              <w:start w:w="75" w:type="dxa"/>
              <w:bottom w:w="55" w:type="dxa"/>
              <w:end w:w="75" w:type="dxa"/>
            </w:tcMar>
          </w:tcPr>
          <w:p>
            <w:pPr>
              <w:spacing w:after="0" w:before="0"/>
            </w:pPr>
            <w:r>
              <w:rPr>
                <w:rFonts w:ascii="Aptos" w:hAnsi="Aptos"/>
                <w:sz w:val="15"/>
              </w:rPr>
              <w:t>$4.7M</w:t>
            </w:r>
          </w:p>
        </w:tc>
      </w:tr>
      <w:tr>
        <w:tc>
          <w:tcPr>
            <w:tcW w:type="dxa" w:w="1752"/>
            <w:vAlign w:val="center"/>
            <w:tcMar>
              <w:top w:w="55" w:type="dxa"/>
              <w:start w:w="75" w:type="dxa"/>
              <w:bottom w:w="55" w:type="dxa"/>
              <w:end w:w="75" w:type="dxa"/>
            </w:tcMar>
          </w:tcPr>
          <w:p>
            <w:pPr>
              <w:spacing w:after="0" w:before="0"/>
            </w:pPr>
            <w:r>
              <w:rPr>
                <w:rFonts w:ascii="Aptos" w:hAnsi="Aptos"/>
                <w:sz w:val="15"/>
              </w:rPr>
              <w:t>25%</w:t>
            </w:r>
          </w:p>
        </w:tc>
        <w:tc>
          <w:tcPr>
            <w:tcW w:type="dxa" w:w="1752"/>
            <w:vAlign w:val="center"/>
            <w:tcMar>
              <w:top w:w="55" w:type="dxa"/>
              <w:start w:w="75" w:type="dxa"/>
              <w:bottom w:w="55" w:type="dxa"/>
              <w:end w:w="75" w:type="dxa"/>
            </w:tcMar>
          </w:tcPr>
          <w:p>
            <w:pPr>
              <w:spacing w:after="0" w:before="0"/>
            </w:pPr>
            <w:r>
              <w:rPr>
                <w:rFonts w:ascii="Aptos" w:hAnsi="Aptos"/>
                <w:sz w:val="15"/>
              </w:rPr>
              <w:t>10,525</w:t>
            </w:r>
          </w:p>
        </w:tc>
        <w:tc>
          <w:tcPr>
            <w:tcW w:type="dxa" w:w="1752"/>
            <w:vAlign w:val="center"/>
            <w:tcMar>
              <w:top w:w="55" w:type="dxa"/>
              <w:start w:w="75" w:type="dxa"/>
              <w:bottom w:w="55" w:type="dxa"/>
              <w:end w:w="75" w:type="dxa"/>
            </w:tcMar>
          </w:tcPr>
          <w:p>
            <w:pPr>
              <w:spacing w:after="0" w:before="0"/>
            </w:pPr>
            <w:r>
              <w:rPr>
                <w:rFonts w:ascii="Aptos" w:hAnsi="Aptos"/>
                <w:sz w:val="15"/>
              </w:rPr>
              <w:t>$60.3M</w:t>
            </w:r>
          </w:p>
        </w:tc>
        <w:tc>
          <w:tcPr>
            <w:tcW w:type="dxa" w:w="1752"/>
            <w:vAlign w:val="center"/>
            <w:tcMar>
              <w:top w:w="55" w:type="dxa"/>
              <w:start w:w="75" w:type="dxa"/>
              <w:bottom w:w="55" w:type="dxa"/>
              <w:end w:w="75" w:type="dxa"/>
            </w:tcMar>
          </w:tcPr>
          <w:p>
            <w:pPr>
              <w:spacing w:after="0" w:before="0"/>
            </w:pPr>
            <w:r>
              <w:rPr>
                <w:rFonts w:ascii="Aptos" w:hAnsi="Aptos"/>
                <w:sz w:val="15"/>
              </w:rPr>
              <w:t>$56.9M</w:t>
            </w:r>
          </w:p>
        </w:tc>
        <w:tc>
          <w:tcPr>
            <w:tcW w:type="dxa" w:w="1752"/>
            <w:vAlign w:val="center"/>
            <w:tcMar>
              <w:top w:w="55" w:type="dxa"/>
              <w:start w:w="75" w:type="dxa"/>
              <w:bottom w:w="55" w:type="dxa"/>
              <w:end w:w="75" w:type="dxa"/>
            </w:tcMar>
          </w:tcPr>
          <w:p>
            <w:pPr>
              <w:spacing w:after="0" w:before="0"/>
            </w:pPr>
            <w:r>
              <w:rPr>
                <w:rFonts w:ascii="Aptos" w:hAnsi="Aptos"/>
                <w:sz w:val="15"/>
              </w:rPr>
              <w:t>$34.4M</w:t>
            </w:r>
          </w:p>
        </w:tc>
        <w:tc>
          <w:tcPr>
            <w:tcW w:type="dxa" w:w="1752"/>
            <w:vAlign w:val="center"/>
            <w:tcMar>
              <w:top w:w="55" w:type="dxa"/>
              <w:start w:w="75" w:type="dxa"/>
              <w:bottom w:w="55" w:type="dxa"/>
              <w:end w:w="75" w:type="dxa"/>
            </w:tcMar>
          </w:tcPr>
          <w:p>
            <w:pPr>
              <w:spacing w:after="0" w:before="0"/>
            </w:pPr>
            <w:r>
              <w:rPr>
                <w:rFonts w:ascii="Aptos" w:hAnsi="Aptos"/>
                <w:sz w:val="15"/>
              </w:rPr>
              <w:t>$11.9M</w:t>
            </w:r>
          </w:p>
        </w:tc>
      </w:tr>
      <w:tr>
        <w:tc>
          <w:tcPr>
            <w:tcW w:type="dxa" w:w="1752"/>
            <w:vAlign w:val="center"/>
            <w:tcMar>
              <w:top w:w="55" w:type="dxa"/>
              <w:start w:w="75" w:type="dxa"/>
              <w:bottom w:w="55" w:type="dxa"/>
              <w:end w:w="75" w:type="dxa"/>
            </w:tcMar>
          </w:tcPr>
          <w:p>
            <w:pPr>
              <w:spacing w:after="0" w:before="0"/>
            </w:pPr>
            <w:r>
              <w:rPr>
                <w:rFonts w:ascii="Aptos" w:hAnsi="Aptos"/>
                <w:sz w:val="15"/>
              </w:rPr>
              <w:t>50%</w:t>
            </w:r>
          </w:p>
        </w:tc>
        <w:tc>
          <w:tcPr>
            <w:tcW w:type="dxa" w:w="1752"/>
            <w:vAlign w:val="center"/>
            <w:tcMar>
              <w:top w:w="55" w:type="dxa"/>
              <w:start w:w="75" w:type="dxa"/>
              <w:bottom w:w="55" w:type="dxa"/>
              <w:end w:w="75" w:type="dxa"/>
            </w:tcMar>
          </w:tcPr>
          <w:p>
            <w:pPr>
              <w:spacing w:after="0" w:before="0"/>
            </w:pPr>
            <w:r>
              <w:rPr>
                <w:rFonts w:ascii="Aptos" w:hAnsi="Aptos"/>
                <w:sz w:val="15"/>
              </w:rPr>
              <w:t>21,051</w:t>
            </w:r>
          </w:p>
        </w:tc>
        <w:tc>
          <w:tcPr>
            <w:tcW w:type="dxa" w:w="1752"/>
            <w:vAlign w:val="center"/>
            <w:tcMar>
              <w:top w:w="55" w:type="dxa"/>
              <w:start w:w="75" w:type="dxa"/>
              <w:bottom w:w="55" w:type="dxa"/>
              <w:end w:w="75" w:type="dxa"/>
            </w:tcMar>
          </w:tcPr>
          <w:p>
            <w:pPr>
              <w:spacing w:after="0" w:before="0"/>
            </w:pPr>
            <w:r>
              <w:rPr>
                <w:rFonts w:ascii="Aptos" w:hAnsi="Aptos"/>
                <w:sz w:val="15"/>
              </w:rPr>
              <w:t>$120.7M</w:t>
            </w:r>
          </w:p>
        </w:tc>
        <w:tc>
          <w:tcPr>
            <w:tcW w:type="dxa" w:w="1752"/>
            <w:vAlign w:val="center"/>
            <w:tcMar>
              <w:top w:w="55" w:type="dxa"/>
              <w:start w:w="75" w:type="dxa"/>
              <w:bottom w:w="55" w:type="dxa"/>
              <w:end w:w="75" w:type="dxa"/>
            </w:tcMar>
          </w:tcPr>
          <w:p>
            <w:pPr>
              <w:spacing w:after="0" w:before="0"/>
            </w:pPr>
            <w:r>
              <w:rPr>
                <w:rFonts w:ascii="Aptos" w:hAnsi="Aptos"/>
                <w:sz w:val="15"/>
              </w:rPr>
              <w:t>$113.9M</w:t>
            </w:r>
          </w:p>
        </w:tc>
        <w:tc>
          <w:tcPr>
            <w:tcW w:type="dxa" w:w="1752"/>
            <w:vAlign w:val="center"/>
            <w:tcMar>
              <w:top w:w="55" w:type="dxa"/>
              <w:start w:w="75" w:type="dxa"/>
              <w:bottom w:w="55" w:type="dxa"/>
              <w:end w:w="75" w:type="dxa"/>
            </w:tcMar>
          </w:tcPr>
          <w:p>
            <w:pPr>
              <w:spacing w:after="0" w:before="0"/>
            </w:pPr>
            <w:r>
              <w:rPr>
                <w:rFonts w:ascii="Aptos" w:hAnsi="Aptos"/>
                <w:sz w:val="15"/>
              </w:rPr>
              <w:t>$68.8M</w:t>
            </w:r>
          </w:p>
        </w:tc>
        <w:tc>
          <w:tcPr>
            <w:tcW w:type="dxa" w:w="1752"/>
            <w:vAlign w:val="center"/>
            <w:tcMar>
              <w:top w:w="55" w:type="dxa"/>
              <w:start w:w="75" w:type="dxa"/>
              <w:bottom w:w="55" w:type="dxa"/>
              <w:end w:w="75" w:type="dxa"/>
            </w:tcMar>
          </w:tcPr>
          <w:p>
            <w:pPr>
              <w:spacing w:after="0" w:before="0"/>
            </w:pPr>
            <w:r>
              <w:rPr>
                <w:rFonts w:ascii="Aptos" w:hAnsi="Aptos"/>
                <w:sz w:val="15"/>
              </w:rPr>
              <w:t>$23.7M</w:t>
            </w:r>
          </w:p>
        </w:tc>
      </w:tr>
      <w:tr>
        <w:tc>
          <w:tcPr>
            <w:tcW w:type="dxa" w:w="1752"/>
            <w:vAlign w:val="center"/>
            <w:tcMar>
              <w:top w:w="55" w:type="dxa"/>
              <w:start w:w="75" w:type="dxa"/>
              <w:bottom w:w="55" w:type="dxa"/>
              <w:end w:w="75" w:type="dxa"/>
            </w:tcMar>
          </w:tcPr>
          <w:p>
            <w:pPr>
              <w:spacing w:after="0" w:before="0"/>
            </w:pPr>
            <w:r>
              <w:rPr>
                <w:rFonts w:ascii="Aptos" w:hAnsi="Aptos"/>
                <w:sz w:val="15"/>
              </w:rPr>
              <w:t>75%</w:t>
            </w:r>
          </w:p>
        </w:tc>
        <w:tc>
          <w:tcPr>
            <w:tcW w:type="dxa" w:w="1752"/>
            <w:vAlign w:val="center"/>
            <w:tcMar>
              <w:top w:w="55" w:type="dxa"/>
              <w:start w:w="75" w:type="dxa"/>
              <w:bottom w:w="55" w:type="dxa"/>
              <w:end w:w="75" w:type="dxa"/>
            </w:tcMar>
          </w:tcPr>
          <w:p>
            <w:pPr>
              <w:spacing w:after="0" w:before="0"/>
            </w:pPr>
            <w:r>
              <w:rPr>
                <w:rFonts w:ascii="Aptos" w:hAnsi="Aptos"/>
                <w:sz w:val="15"/>
              </w:rPr>
              <w:t>31,576</w:t>
            </w:r>
          </w:p>
        </w:tc>
        <w:tc>
          <w:tcPr>
            <w:tcW w:type="dxa" w:w="1752"/>
            <w:vAlign w:val="center"/>
            <w:tcMar>
              <w:top w:w="55" w:type="dxa"/>
              <w:start w:w="75" w:type="dxa"/>
              <w:bottom w:w="55" w:type="dxa"/>
              <w:end w:w="75" w:type="dxa"/>
            </w:tcMar>
          </w:tcPr>
          <w:p>
            <w:pPr>
              <w:spacing w:after="0" w:before="0"/>
            </w:pPr>
            <w:r>
              <w:rPr>
                <w:rFonts w:ascii="Aptos" w:hAnsi="Aptos"/>
                <w:sz w:val="15"/>
              </w:rPr>
              <w:t>$181.0M</w:t>
            </w:r>
          </w:p>
        </w:tc>
        <w:tc>
          <w:tcPr>
            <w:tcW w:type="dxa" w:w="1752"/>
            <w:vAlign w:val="center"/>
            <w:tcMar>
              <w:top w:w="55" w:type="dxa"/>
              <w:start w:w="75" w:type="dxa"/>
              <w:bottom w:w="55" w:type="dxa"/>
              <w:end w:w="75" w:type="dxa"/>
            </w:tcMar>
          </w:tcPr>
          <w:p>
            <w:pPr>
              <w:spacing w:after="0" w:before="0"/>
            </w:pPr>
            <w:r>
              <w:rPr>
                <w:rFonts w:ascii="Aptos" w:hAnsi="Aptos"/>
                <w:sz w:val="15"/>
              </w:rPr>
              <w:t>$170.8M</w:t>
            </w:r>
          </w:p>
        </w:tc>
        <w:tc>
          <w:tcPr>
            <w:tcW w:type="dxa" w:w="1752"/>
            <w:vAlign w:val="center"/>
            <w:tcMar>
              <w:top w:w="55" w:type="dxa"/>
              <w:start w:w="75" w:type="dxa"/>
              <w:bottom w:w="55" w:type="dxa"/>
              <w:end w:w="75" w:type="dxa"/>
            </w:tcMar>
          </w:tcPr>
          <w:p>
            <w:pPr>
              <w:spacing w:after="0" w:before="0"/>
            </w:pPr>
            <w:r>
              <w:rPr>
                <w:rFonts w:ascii="Aptos" w:hAnsi="Aptos"/>
                <w:sz w:val="15"/>
              </w:rPr>
              <w:t>$103.2M</w:t>
            </w:r>
          </w:p>
        </w:tc>
        <w:tc>
          <w:tcPr>
            <w:tcW w:type="dxa" w:w="1752"/>
            <w:vAlign w:val="center"/>
            <w:tcMar>
              <w:top w:w="55" w:type="dxa"/>
              <w:start w:w="75" w:type="dxa"/>
              <w:bottom w:w="55" w:type="dxa"/>
              <w:end w:w="75" w:type="dxa"/>
            </w:tcMar>
          </w:tcPr>
          <w:p>
            <w:pPr>
              <w:spacing w:after="0" w:before="0"/>
            </w:pPr>
            <w:r>
              <w:rPr>
                <w:rFonts w:ascii="Aptos" w:hAnsi="Aptos"/>
                <w:sz w:val="15"/>
              </w:rPr>
              <w:t>$35.6M</w:t>
            </w:r>
          </w:p>
        </w:tc>
      </w:tr>
      <w:tr>
        <w:tc>
          <w:tcPr>
            <w:tcW w:type="dxa" w:w="1752"/>
            <w:vAlign w:val="center"/>
            <w:tcMar>
              <w:top w:w="55" w:type="dxa"/>
              <w:start w:w="75" w:type="dxa"/>
              <w:bottom w:w="55" w:type="dxa"/>
              <w:end w:w="75" w:type="dxa"/>
            </w:tcMar>
          </w:tcPr>
          <w:p>
            <w:pPr>
              <w:spacing w:after="0" w:before="0"/>
            </w:pPr>
            <w:r>
              <w:rPr>
                <w:rFonts w:ascii="Aptos" w:hAnsi="Aptos"/>
                <w:sz w:val="15"/>
              </w:rPr>
              <w:t>100%</w:t>
            </w:r>
          </w:p>
        </w:tc>
        <w:tc>
          <w:tcPr>
            <w:tcW w:type="dxa" w:w="1752"/>
            <w:vAlign w:val="center"/>
            <w:tcMar>
              <w:top w:w="55" w:type="dxa"/>
              <w:start w:w="75" w:type="dxa"/>
              <w:bottom w:w="55" w:type="dxa"/>
              <w:end w:w="75" w:type="dxa"/>
            </w:tcMar>
          </w:tcPr>
          <w:p>
            <w:pPr>
              <w:spacing w:after="0" w:before="0"/>
            </w:pPr>
            <w:r>
              <w:rPr>
                <w:rFonts w:ascii="Aptos" w:hAnsi="Aptos"/>
                <w:sz w:val="15"/>
              </w:rPr>
              <w:t>42,102</w:t>
            </w:r>
          </w:p>
        </w:tc>
        <w:tc>
          <w:tcPr>
            <w:tcW w:type="dxa" w:w="1752"/>
            <w:vAlign w:val="center"/>
            <w:tcMar>
              <w:top w:w="55" w:type="dxa"/>
              <w:start w:w="75" w:type="dxa"/>
              <w:bottom w:w="55" w:type="dxa"/>
              <w:end w:w="75" w:type="dxa"/>
            </w:tcMar>
          </w:tcPr>
          <w:p>
            <w:pPr>
              <w:spacing w:after="0" w:before="0"/>
            </w:pPr>
            <w:r>
              <w:rPr>
                <w:rFonts w:ascii="Aptos" w:hAnsi="Aptos"/>
                <w:sz w:val="15"/>
              </w:rPr>
              <w:t>$241.3M</w:t>
            </w:r>
          </w:p>
        </w:tc>
        <w:tc>
          <w:tcPr>
            <w:tcW w:type="dxa" w:w="1752"/>
            <w:vAlign w:val="center"/>
            <w:tcMar>
              <w:top w:w="55" w:type="dxa"/>
              <w:start w:w="75" w:type="dxa"/>
              <w:bottom w:w="55" w:type="dxa"/>
              <w:end w:w="75" w:type="dxa"/>
            </w:tcMar>
          </w:tcPr>
          <w:p>
            <w:pPr>
              <w:spacing w:after="0" w:before="0"/>
            </w:pPr>
            <w:r>
              <w:rPr>
                <w:rFonts w:ascii="Aptos" w:hAnsi="Aptos"/>
                <w:sz w:val="15"/>
              </w:rPr>
              <w:t>$227.7M</w:t>
            </w:r>
          </w:p>
        </w:tc>
        <w:tc>
          <w:tcPr>
            <w:tcW w:type="dxa" w:w="1752"/>
            <w:vAlign w:val="center"/>
            <w:tcMar>
              <w:top w:w="55" w:type="dxa"/>
              <w:start w:w="75" w:type="dxa"/>
              <w:bottom w:w="55" w:type="dxa"/>
              <w:end w:w="75" w:type="dxa"/>
            </w:tcMar>
          </w:tcPr>
          <w:p>
            <w:pPr>
              <w:spacing w:after="0" w:before="0"/>
            </w:pPr>
            <w:r>
              <w:rPr>
                <w:rFonts w:ascii="Aptos" w:hAnsi="Aptos"/>
                <w:sz w:val="15"/>
              </w:rPr>
              <w:t>$137.6M</w:t>
            </w:r>
          </w:p>
        </w:tc>
        <w:tc>
          <w:tcPr>
            <w:tcW w:type="dxa" w:w="1752"/>
            <w:vAlign w:val="center"/>
            <w:tcMar>
              <w:top w:w="55" w:type="dxa"/>
              <w:start w:w="75" w:type="dxa"/>
              <w:bottom w:w="55" w:type="dxa"/>
              <w:end w:w="75" w:type="dxa"/>
            </w:tcMar>
          </w:tcPr>
          <w:p>
            <w:pPr>
              <w:spacing w:after="0" w:before="0"/>
            </w:pPr>
            <w:r>
              <w:rPr>
                <w:rFonts w:ascii="Aptos" w:hAnsi="Aptos"/>
                <w:sz w:val="15"/>
              </w:rPr>
              <w:t>$47.5M</w:t>
            </w:r>
          </w:p>
        </w:tc>
      </w:tr>
    </w:tbl>
    <w:p>
      <w:r>
        <w:rPr>
          <w:b/>
        </w:rPr>
        <w:t xml:space="preserve">Under this revised L2 scenario, there is no longer a cross-curb break-even threshold against L2-first. </w:t>
      </w:r>
      <w:r>
        <w:t>The optimistic L3-only case is already about $322 per driver per year cheaper than mature neighborhood L2. Every additional household that can safely shift from L3 to home/cross-curb charging lowers both the shared-infrastructure requirement and the average resident burden further.</w:t>
      </w:r>
    </w:p>
    <w:p>
      <w:pPr>
        <w:pStyle w:val="Heading1"/>
      </w:pPr>
      <w:r>
        <w:t>7. Interpretation</w:t>
      </w:r>
    </w:p>
    <w:p>
      <w:pPr>
        <w:spacing w:after="60"/>
        <w:ind w:left="288" w:hanging="173"/>
      </w:pPr>
      <w:r>
        <w:rPr>
          <w:b/>
        </w:rPr>
        <w:t xml:space="preserve">• </w:t>
      </w:r>
      <w:r>
        <w:t>A mature L2 network can make the three-hour dwell essentially costless in time only if chargers are dense enough that users can park near home or work. Achieving that convenience itself requires a large physical build-out.</w:t>
      </w:r>
    </w:p>
    <w:p>
      <w:pPr>
        <w:spacing w:after="60"/>
        <w:ind w:left="288" w:hanging="173"/>
      </w:pPr>
      <w:r>
        <w:rPr>
          <w:b/>
        </w:rPr>
        <w:t xml:space="preserve">• </w:t>
      </w:r>
      <w:r>
        <w:t>Even after granting fully productive dwell time, a 30-minute access trip and a 20% occupied/broken failure rate raise neighborhood L2 above the optimistic L3 case in annual user burden.</w:t>
      </w:r>
    </w:p>
    <w:p>
      <w:pPr>
        <w:spacing w:after="60"/>
        <w:ind w:left="288" w:hanging="173"/>
      </w:pPr>
      <w:r>
        <w:rPr>
          <w:b/>
        </w:rPr>
        <w:t xml:space="preserve">• </w:t>
      </w:r>
      <w:r>
        <w:t>L3 is far more infrastructure-efficient. At equal utilization, a 30-minute L3 port supports roughly nine times as many routine users as a three-hour L2 port.</w:t>
      </w:r>
    </w:p>
    <w:p>
      <w:pPr>
        <w:spacing w:after="60"/>
        <w:ind w:left="288" w:hanging="173"/>
      </w:pPr>
      <w:r>
        <w:rPr>
          <w:b/>
        </w:rPr>
        <w:t xml:space="preserve">• </w:t>
      </w:r>
      <w:r>
        <w:t>Cross-curb access remains the strongest option for eligible households because it eliminates dedicated charging trips and removes routine demand from the public network entirely.</w:t>
      </w:r>
    </w:p>
    <w:p>
      <w:pPr>
        <w:spacing w:after="60"/>
        <w:ind w:left="288" w:hanging="173"/>
      </w:pPr>
      <w:r>
        <w:rPr>
          <w:b/>
        </w:rPr>
        <w:t xml:space="preserve">• </w:t>
      </w:r>
      <w:r>
        <w:t>The strongest portfolio is therefore home charging wherever safely feasible, distributed L3 as the high-throughput shared backstop, and L2 where vehicles naturally dwell for several hours rather than as the default substitute for residential access.</w:t>
      </w:r>
    </w:p>
    <w:p>
      <w:pPr>
        <w:pStyle w:val="Heading1"/>
      </w:pPr>
      <w:r>
        <w:t>8. Policy option</w:t>
      </w:r>
    </w:p>
    <w:p>
      <w:r>
        <w:rPr>
          <w:b/>
        </w:rPr>
        <w:t xml:space="preserve">An alternative to an L2-first strategy would have three components: </w:t>
      </w:r>
      <w:r>
        <w:t>(1) establish a residential cross-curb/right-of-way charging permit for households without off-street parking where a safe installation is feasible; (2) actively facilitate additional multi-port DC fast-charging sites in geographically distributed locations; and (3) retain public L2 charging as a targeted complement at destinations and neighborhoods where long dwell is naturally compatible with parking behavior.</w:t>
      </w:r>
    </w:p>
    <w:p>
      <w:pPr>
        <w:pStyle w:val="Heading1"/>
      </w:pPr>
      <w:r>
        <w:t>Conclusion</w:t>
      </w:r>
    </w:p>
    <w:p>
      <w:r>
        <w:rPr>
          <w:b/>
        </w:rPr>
        <w:t xml:space="preserve">The revised mature-L2 scenario illustrates the structural challenge of using shared Level 2 charging as a substitute for home charging. </w:t>
      </w:r>
      <w:r>
        <w:t>Even with a charger near the user's home or workplace and a completely productive three-hour dwell, 125 annual charging trips plus a modest 20% failure rate create about 78 hours of nonproductive time per driver each year. The resulting annual burden of about $5,732 is slightly higher than the optimistic L3 case and more than five times the time burden of home charging, which has no recurring charging-trip requirement.</w:t>
      </w:r>
    </w:p>
    <w:p>
      <w:r>
        <w:t>The infrastructure burden is even more pronounced. At 25% EV penetration, the modeled affected population requires roughly 1,500 L2 ports if neighborhood L2 carries routine charging demand, compared with about 160 30-minute L3 ports. Allowing half of affected households to charge across the curb cuts the remaining L3 requirement to roughly 80 ports. This suggests that Alexandria can reduce both resident burden and public-infrastructure scale by enabling home charging where safe, building out high-throughput fast charging, and using public L2 selectively rather than as the dominant substitute for home access.</w:t>
      </w:r>
    </w:p>
    <w:p>
      <w:pPr>
        <w:pStyle w:val="Heading1"/>
      </w:pPr>
      <w:r>
        <w:t>Sources and notes</w:t>
      </w:r>
    </w:p>
    <w:p>
      <w:pPr>
        <w:spacing w:after="40"/>
        <w:ind w:left="317" w:hanging="317"/>
      </w:pPr>
      <w:r>
        <w:rPr>
          <w:sz w:val="16"/>
        </w:rPr>
        <w:t>1. Companion analysis: Cost of Charging for Alexandria Residents Without Off-Street Parking. The source paper uses 12,000 annual miles, 0.30 kWh/mile, 3,600 kWh/year, and a $59.54/hour time value; it also defines the 45 kWh fast-charge session and 28.8 kWh three-hour Level 2 session used here.</w:t>
      </w:r>
    </w:p>
    <w:p>
      <w:pPr>
        <w:spacing w:after="40"/>
        <w:ind w:left="317" w:hanging="317"/>
      </w:pPr>
      <w:r>
        <w:rPr>
          <w:sz w:val="16"/>
        </w:rPr>
        <w:t>2. City of Alexandria, Electric Vehicles in Alexandria (2026). The City states that curbside charging is intended to help residents without a dedicated driveway or garage and residents in multifamily communities; the initial program allows up to 60 chargers during the first two years. https://www.alexandriava.gov/energy/electric-vehicles-in-alexandria</w:t>
      </w:r>
    </w:p>
    <w:p>
      <w:pPr>
        <w:spacing w:after="40"/>
        <w:ind w:left="317" w:hanging="317"/>
      </w:pPr>
      <w:r>
        <w:rPr>
          <w:sz w:val="16"/>
        </w:rPr>
        <w:t>3. City of Alexandria, Electric Vehicle Charging Infrastructure Readiness Strategy. The strategy distinguishes residential, workplace, public Level 2, and DC fast charging and recommends matching charging power to dwell time. https://www.alexandriava.gov/sites/default/files/2024-06/alexandria_evrs_final.pdf</w:t>
      </w:r>
    </w:p>
    <w:p>
      <w:pPr>
        <w:spacing w:after="40"/>
        <w:ind w:left="317" w:hanging="317"/>
      </w:pPr>
      <w:r>
        <w:rPr>
          <w:sz w:val="16"/>
        </w:rPr>
        <w:t>4. U.S. Department of Energy, Fact of the Week #1319 (Dec. 4, 2023). Paid DC fast charging sessions in the cited dataset averaged 42 minutes and 22 kWh. The main L3 scenario in this paper intentionally uses a more favorable 30-minute session; the 42-minute result is shown as a sensitivity. https://www.energy.gov/cmei/vehicles/articles/fotw-1319-december-4-2023-ev-charging-paid-dc-fast-charging-stations-average</w:t>
      </w:r>
    </w:p>
    <w:p>
      <w:pPr>
        <w:spacing w:after="40"/>
        <w:ind w:left="317" w:hanging="317"/>
      </w:pPr>
      <w:r>
        <w:rPr>
          <w:sz w:val="16"/>
        </w:rPr>
        <w:t>5. City of Alexandria, FY 2026 Budget Q&amp;A #068 and related vehicle personal-property data. The model uses approximately 120,291 personal-use vehicles as a working citywide fleet denominator. https://www.alexandriava.gov/budget-memos-fy26/fy-26-budget-qa-068-how-many-vehicles-receive-100-subsidy-under-the-current</w:t>
      </w:r>
    </w:p>
    <w:p>
      <w:r>
        <w:rPr>
          <w:i/>
          <w:color w:val="505050"/>
          <w:sz w:val="16"/>
        </w:rPr>
        <w:t>Modeling caveats: The 35% share of EV owners without practical conventional home charging is illustrative, not a measured City statistic. The 30% port-utilization assumption is used solely to compare infrastructure requirements. The L2 20% failure rate is a scenario assumption representing occupied or broken equipment, not a measured Alexandria failure rate. The analysis monetizes time using household income as in the companion paper; this is an economic-burden measure, not an out-of-pocket bill. The model does not include public charger construction costs, grid-upgrade costs, parking fees, idle fees, queues beyond the stated failure scenario, or differences in battery charging curves.</w:t>
      </w:r>
    </w:p>
    <w:sectPr w:rsidR="00FC693F" w:rsidRPr="0006063C" w:rsidSect="00034616">
      <w:footerReference w:type="default" r:id="rId9"/>
      <w:pgSz w:w="12240" w:h="15840"/>
      <w:pgMar w:top="749"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Alexandria EV Charging Strategy Alternatives | Revised working paper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2">
    <w:name w:val="Subtitle2"/>
    <w:rPr>
      <w:rFonts w:ascii="Aptos" w:hAnsi="Aptos"/>
      <w:i/>
      <w:color w:val="4B4B4B"/>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