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Cost of Waiting</w:t>
      </w:r>
    </w:p>
    <w:p>
      <w:pPr>
        <w:pStyle w:val="Subtitle2"/>
        <w:jc w:val="center"/>
      </w:pPr>
      <w:r>
        <w:t>Residential charging access, household burden, and vehicle lock-in in Alexandria, Virginia</w:t>
      </w:r>
    </w:p>
    <w:p>
      <w:pPr>
        <w:jc w:val="center"/>
      </w:pPr>
      <w:r>
        <w:t>Working research paper | September 2026 | Revised for infrastructure-capital and cross-curb option analysis</w:t>
      </w:r>
    </w:p>
    <w:p/>
    <w:p>
      <w:pPr>
        <w:pStyle w:val="Heading1"/>
      </w:pPr>
      <w:r>
        <w:t>Executive Summary</w:t>
      </w:r>
    </w:p>
    <w:p>
      <w:r>
        <w:t>Alexandria's electric-vehicle charging policy creates two analytically distinct costs for residents who cannot access residential electricity where they park. First, an EV owner who must rely on public charging pays more for energy and spends substantial time accessing chargers. Second, if that burden changes a household's vehicle-purchase decision, the resulting gasoline vehicle can remain in use for years after the policy itself changes. This paper calls the first effect the charging-access burden and the second vehicle lock-in.</w:t>
      </w:r>
    </w:p>
    <w:p>
      <w:r>
        <w:t>Using the revised Alexandria charging model, a representative EV driven 12,000 miles per year uses about 3,600 kWh annually. Residential/cross-curb charging at 13 cents/kWh costs about $468 per year in electricity. An intentionally favorable public Level 2 case at 30 cents/kWh costs about $1,080 in electricity and imposes about 78.1 hours of nonproductive charging-related time each year. An optimistic DC fast-charging case at 40 cents/kWh costs about $1,440 in electricity and imposes about 66.7 hours of charging-related time.</w:t>
      </w:r>
    </w:p>
    <w:p>
      <w:r>
        <w:t>The time burden should not be treated as a footnote. U.S. Department of Transportation benefit-cost guidance explicitly monetizes travel delay and values walking, waiting, standing, and transfer time more highly than ordinary personal travel time. Applying alternative values of time therefore provides a transparent sensitivity analysis rather than assuming that household time is free.</w:t>
      </w:r>
    </w:p>
    <w:p>
      <w:r>
        <w:t>For the adoption-delay model, the paper uses a provisional 10%-20% range for the share of Alexandria's 120,291 personal-use vehicles that may be in households potentially addressable by cross-curb charging, with 15% as a central scenario. This is not a measured City statistic. A definitive estimate would require parcel, parking, and vehicle-registration GIS data.</w:t>
      </w:r>
    </w:p>
    <w:p>
      <w:r>
        <w:t>In the central scenario, approximately 18,044 vehicles are in potentially addressable households. With an average new-car holding period of 8.4 years, roughly 2,148 vehicle-replacement decisions occur in that population each year. If practical residential charging changes EV selection by 10 percentage points among those decisions, one year of policy delay is associated with about 215 additional gasoline-vehicle purchases.</w:t>
      </w:r>
    </w:p>
    <w:p>
      <w:r>
        <w:t>At current Washington-region Virginia gasoline prices and the operating assumptions in this paper, replacing a 30-mpg gasoline vehicle with a home-charged EV saves about 1,496 dollars per year in fuel/electricity and maintenance. Over an 8.4-year holding period, each induced gasoline purchase commits roughly 12,570 dollars in foregone household operating savings and about 21.2 metric tons of additional operational CO2 under the current Virginia generation mix.</w:t>
      </w:r>
    </w:p>
    <w:p>
      <w:pPr>
        <w:pStyle w:val="Heading2"/>
      </w:pPr>
      <w:r>
        <w:t>Key Findings</w:t>
      </w:r>
    </w:p>
    <w:p>
      <w:pPr>
        <w:pStyle w:val="ListBullet"/>
      </w:pPr>
      <w:r>
        <w:t>Cash charging penalty: public charging adds roughly $612 per year in the favorable L2 case and $972 per year in the DC fast case before valuing time.</w:t>
      </w:r>
    </w:p>
    <w:p>
      <w:pPr>
        <w:pStyle w:val="ListBullet"/>
      </w:pPr>
      <w:r>
        <w:t>Time tax: public charging adds approximately 67-78 hours per EV household per year under the favorable revised scenarios.</w:t>
      </w:r>
    </w:p>
    <w:p>
      <w:pPr>
        <w:pStyle w:val="ListBullet"/>
      </w:pPr>
      <w:r>
        <w:t>Official time valuation matters: those hours are worth roughly $1,294-$1,515 per year at USDOT's general personal-travel value, or $2,588-$3,030 using USDOT's walking/waiting value. The Alexandria median-income proxy used in the earlier paper yields $3,971-$4,650.</w:t>
      </w:r>
    </w:p>
    <w:p>
      <w:pPr>
        <w:pStyle w:val="ListBullet"/>
      </w:pPr>
      <w:r>
        <w:t>Central lock-in scenario: one year of delay produces about 215 induced ICE purchases, about 1,804 committed gasoline vehicle-years, roughly $2,700,052 in foregone household operating savings, and about 4,555 metric tons of additional operational CO2 over the vehicles' expected household holding periods.</w:t>
      </w:r>
    </w:p>
    <w:p>
      <w:pPr>
        <w:pStyle w:val="ListBullet"/>
      </w:pPr>
      <w:r>
        <w:t>The results are scenario analysis, not a forecast. The two highest-leverage uncertainties are the cross-curb-addressable population and the effect of home-charging access on EV purchase probability.</w:t>
      </w:r>
    </w:p>
    <w:p>
      <w:pPr>
        <w:pStyle w:val="Heading1"/>
      </w:pPr>
      <w:r>
        <w:t>1. Policy Question and Analytical Framework</w:t>
      </w:r>
    </w:p>
    <w:p>
      <w:r>
        <w:t>Alexandria has begun permitting commercially operated curbside EV chargers, with up to 60 chargers allowed during the first two years of the program. The program is explicitly intended to improve access for residents without a driveway or garage. At the same time, a resident who owns electrical service adjacent to the street generally cannot treat that service as ordinary home charging if a safe connection must cross the public sidewalk. The policy question is therefore not whether Alexandria should build public charging. It is whether public charging should be treated as a substitute for residential electricity where a safe cross-curb connection is feasible.</w:t>
      </w:r>
    </w:p>
    <w:p>
      <w:r>
        <w:t>This paper separates the consequences into two models. The first estimates the annual burden on EV-owning households when residential charging is unavailable. The second estimates the longer-lived consequences if the charging barrier suppresses EV adoption at vehicle-replacement events. Keeping the models separate avoids double counting: a household either owns an EV and bears the public-charging burden, or the barrier changes the purchase decision and the household bears the operating and emissions consequences of an ICE vehicle instead.</w:t>
      </w:r>
    </w:p>
    <w:p>
      <w:pPr>
        <w:pStyle w:val="Heading1"/>
      </w:pPr>
      <w:r>
        <w:t>2. Charging-Access Burden</w:t>
      </w:r>
    </w:p>
    <w:p>
      <w:r>
        <w:t>The revised Alexandria charging strategy paper uses deliberately favorable assumptions for public charging. It assumes 12,000 miles of annual driving, 0.30 kWh per mile, 13 cents/kWh residential electricity, 30 cents/kWh public Level 2, and 40 cents/kWh DC fast charging. The mature L2 scenario assumes the charging dwell itself is fully productive, while dedicated travel and failed attempts remain nonproductive. The optimistic DC fast case assumes short travel and a 30-minute charging stop.</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vAlign w:val="center"/>
            <w:shd w:fill="D9EAF7"/>
          </w:tcPr>
          <w:p>
            <w:r/>
            <w:r>
              <w:rPr>
                <w:b/>
                <w:sz w:val="18"/>
              </w:rPr>
              <w:t>Scenario</w:t>
            </w:r>
          </w:p>
        </w:tc>
        <w:tc>
          <w:tcPr>
            <w:tcW w:type="dxa" w:w="2016"/>
            <w:vAlign w:val="center"/>
            <w:shd w:fill="D9EAF7"/>
          </w:tcPr>
          <w:p>
            <w:r/>
            <w:r>
              <w:rPr>
                <w:b/>
                <w:sz w:val="18"/>
              </w:rPr>
              <w:t>Electricity / year</w:t>
            </w:r>
          </w:p>
        </w:tc>
        <w:tc>
          <w:tcPr>
            <w:tcW w:type="dxa" w:w="2016"/>
            <w:vAlign w:val="center"/>
            <w:shd w:fill="D9EAF7"/>
          </w:tcPr>
          <w:p>
            <w:r/>
            <w:r>
              <w:rPr>
                <w:b/>
                <w:sz w:val="18"/>
              </w:rPr>
              <w:t>Nonproductive hours / year</w:t>
            </w:r>
          </w:p>
        </w:tc>
        <w:tc>
          <w:tcPr>
            <w:tcW w:type="dxa" w:w="2016"/>
            <w:vAlign w:val="center"/>
            <w:shd w:fill="D9EAF7"/>
          </w:tcPr>
          <w:p>
            <w:r/>
            <w:r>
              <w:rPr>
                <w:b/>
                <w:sz w:val="18"/>
              </w:rPr>
              <w:t>Other annual cost</w:t>
            </w:r>
          </w:p>
        </w:tc>
        <w:tc>
          <w:tcPr>
            <w:tcW w:type="dxa" w:w="2016"/>
            <w:vAlign w:val="center"/>
            <w:shd w:fill="D9EAF7"/>
          </w:tcPr>
          <w:p>
            <w:r/>
            <w:r>
              <w:rPr>
                <w:b/>
                <w:sz w:val="18"/>
              </w:rPr>
              <w:t>Notes</w:t>
            </w:r>
          </w:p>
        </w:tc>
      </w:tr>
      <w:tr>
        <w:tc>
          <w:tcPr>
            <w:tcW w:type="dxa" w:w="2016"/>
            <w:vAlign w:val="center"/>
          </w:tcPr>
          <w:p>
            <w:r/>
            <w:r>
              <w:rPr>
                <w:b w:val="0"/>
                <w:sz w:val="18"/>
              </w:rPr>
              <w:t>Home / cross-curb</w:t>
            </w:r>
          </w:p>
        </w:tc>
        <w:tc>
          <w:tcPr>
            <w:tcW w:type="dxa" w:w="2016"/>
            <w:vAlign w:val="center"/>
          </w:tcPr>
          <w:p>
            <w:r/>
            <w:r>
              <w:rPr>
                <w:b w:val="0"/>
                <w:sz w:val="18"/>
              </w:rPr>
              <w:t>$468</w:t>
            </w:r>
          </w:p>
        </w:tc>
        <w:tc>
          <w:tcPr>
            <w:tcW w:type="dxa" w:w="2016"/>
            <w:vAlign w:val="center"/>
          </w:tcPr>
          <w:p>
            <w:r/>
            <w:r>
              <w:rPr>
                <w:b w:val="0"/>
                <w:sz w:val="18"/>
              </w:rPr>
              <w:t>0.0</w:t>
            </w:r>
          </w:p>
        </w:tc>
        <w:tc>
          <w:tcPr>
            <w:tcW w:type="dxa" w:w="2016"/>
            <w:vAlign w:val="center"/>
          </w:tcPr>
          <w:p>
            <w:r/>
            <w:r>
              <w:rPr>
                <w:b w:val="0"/>
                <w:sz w:val="18"/>
              </w:rPr>
              <w:t>$660</w:t>
            </w:r>
          </w:p>
        </w:tc>
        <w:tc>
          <w:tcPr>
            <w:tcW w:type="dxa" w:w="2016"/>
            <w:vAlign w:val="center"/>
          </w:tcPr>
          <w:p>
            <w:r/>
            <w:r>
              <w:rPr>
                <w:b w:val="0"/>
                <w:sz w:val="18"/>
              </w:rPr>
              <w:t>First five years: equipment amortization + assumed insurance</w:t>
            </w:r>
          </w:p>
        </w:tc>
      </w:tr>
      <w:tr>
        <w:tc>
          <w:tcPr>
            <w:tcW w:type="dxa" w:w="2016"/>
            <w:vAlign w:val="center"/>
          </w:tcPr>
          <w:p>
            <w:r/>
            <w:r>
              <w:rPr>
                <w:b w:val="0"/>
                <w:sz w:val="18"/>
              </w:rPr>
              <w:t>Mature public L2</w:t>
            </w:r>
          </w:p>
        </w:tc>
        <w:tc>
          <w:tcPr>
            <w:tcW w:type="dxa" w:w="2016"/>
            <w:vAlign w:val="center"/>
          </w:tcPr>
          <w:p>
            <w:r/>
            <w:r>
              <w:rPr>
                <w:b w:val="0"/>
                <w:sz w:val="18"/>
              </w:rPr>
              <w:t>$1,080</w:t>
            </w:r>
          </w:p>
        </w:tc>
        <w:tc>
          <w:tcPr>
            <w:tcW w:type="dxa" w:w="2016"/>
            <w:vAlign w:val="center"/>
          </w:tcPr>
          <w:p>
            <w:r/>
            <w:r>
              <w:rPr>
                <w:b w:val="0"/>
                <w:sz w:val="18"/>
              </w:rPr>
              <w:t>78.1</w:t>
            </w:r>
          </w:p>
        </w:tc>
        <w:tc>
          <w:tcPr>
            <w:tcW w:type="dxa" w:w="2016"/>
            <w:vAlign w:val="center"/>
          </w:tcPr>
          <w:p>
            <w:r/>
            <w:r>
              <w:rPr>
                <w:b w:val="0"/>
                <w:sz w:val="18"/>
              </w:rPr>
              <w:t>$0</w:t>
            </w:r>
          </w:p>
        </w:tc>
        <w:tc>
          <w:tcPr>
            <w:tcW w:type="dxa" w:w="2016"/>
            <w:vAlign w:val="center"/>
          </w:tcPr>
          <w:p>
            <w:r/>
            <w:r>
              <w:rPr>
                <w:b w:val="0"/>
                <w:sz w:val="18"/>
              </w:rPr>
              <w:t>30 cents/kWh; productive dwell; 20% failure assumption</w:t>
            </w:r>
          </w:p>
        </w:tc>
      </w:tr>
      <w:tr>
        <w:tc>
          <w:tcPr>
            <w:tcW w:type="dxa" w:w="2016"/>
            <w:vAlign w:val="center"/>
          </w:tcPr>
          <w:p>
            <w:r/>
            <w:r>
              <w:rPr>
                <w:b w:val="0"/>
                <w:sz w:val="18"/>
              </w:rPr>
              <w:t>Optimistic DC fast</w:t>
            </w:r>
          </w:p>
        </w:tc>
        <w:tc>
          <w:tcPr>
            <w:tcW w:type="dxa" w:w="2016"/>
            <w:vAlign w:val="center"/>
          </w:tcPr>
          <w:p>
            <w:r/>
            <w:r>
              <w:rPr>
                <w:b w:val="0"/>
                <w:sz w:val="18"/>
              </w:rPr>
              <w:t>$1,440</w:t>
            </w:r>
          </w:p>
        </w:tc>
        <w:tc>
          <w:tcPr>
            <w:tcW w:type="dxa" w:w="2016"/>
            <w:vAlign w:val="center"/>
          </w:tcPr>
          <w:p>
            <w:r/>
            <w:r>
              <w:rPr>
                <w:b w:val="0"/>
                <w:sz w:val="18"/>
              </w:rPr>
              <w:t>66.7</w:t>
            </w:r>
          </w:p>
        </w:tc>
        <w:tc>
          <w:tcPr>
            <w:tcW w:type="dxa" w:w="2016"/>
            <w:vAlign w:val="center"/>
          </w:tcPr>
          <w:p>
            <w:r/>
            <w:r>
              <w:rPr>
                <w:b w:val="0"/>
                <w:sz w:val="18"/>
              </w:rPr>
              <w:t>$0</w:t>
            </w:r>
          </w:p>
        </w:tc>
        <w:tc>
          <w:tcPr>
            <w:tcW w:type="dxa" w:w="2016"/>
            <w:vAlign w:val="center"/>
          </w:tcPr>
          <w:p>
            <w:r/>
            <w:r>
              <w:rPr>
                <w:b w:val="0"/>
                <w:sz w:val="18"/>
              </w:rPr>
              <w:t>40 cents/kWh; 30-minute charging stop</w:t>
            </w:r>
          </w:p>
        </w:tc>
      </w:tr>
    </w:tbl>
    <w:p/>
    <w:p>
      <w:pPr>
        <w:pStyle w:val="Heading2"/>
      </w:pPr>
      <w:r>
        <w:t>2.1 The direct cash penalty</w:t>
      </w:r>
    </w:p>
    <w:p>
      <w:r>
        <w:t>Relative to residential electricity, the favorable public L2 case adds $612 per year in electricity cost and the DC fast case adds $972. These are useful conservative public-facing figures because they do not depend on any valuation of personal time.</w:t>
      </w:r>
    </w:p>
    <w:p>
      <w:r>
        <w:t>The 30-cent public L2 rate is itself favorable. The companion commercial break-even analysis estimates that a curbside port with a $7,500 installed cost requires roughly 43 cents/kWh at 20% utilization, 38 cents at 25%, and 34 cents at 30% to break even under its central assumptions. The 30-cent modeling value is therefore closer to a low-cost/high-utilization case than to a central commercial forecast.</w:t>
      </w:r>
    </w:p>
    <w:p>
      <w:pPr>
        <w:pStyle w:val="Heading2"/>
      </w:pPr>
      <w:r>
        <w:t>2.2 The time tax</w:t>
      </w:r>
    </w:p>
    <w:p>
      <w:r>
        <w:t>The principal policy issue is that charging access consumes household time even when the electricity price is visible and easy to compare. The revised scenarios estimate 78.1 nonproductive hours per year for mature neighborhood L2 and 66.7 hours for optimistic DC fast charging. These hours represent repeated travel to charging locations, retrieval of vehicles, charging stops, and in the L2 case failed attempts when equipment is occupied or unavailable.</w:t>
      </w:r>
    </w:p>
    <w:p>
      <w:r>
        <w:t>Transportation benefit-cost analysis does not normally assume this time is worthless. USDOT's 2025 benefit-cost guidance reports a value of $19.40 per person-hour for general personal travel and $38.80 for walking, cycling, waiting, standing, and transfer time, in 2023 dollars. The earlier Alexandria paper used a local income proxy of $59.54 per hour. The values answer different questions, so this paper reports all three rather than selecting a single definitive value.</w:t>
      </w:r>
    </w:p>
    <w:tbl>
      <w:tblPr>
        <w:tblStyle w:val="TableGrid"/>
        <w:tblW w:type="auto" w:w="0"/>
        <w:jc w:val="center"/>
        <w:tblLook w:firstColumn="1" w:firstRow="1" w:lastColumn="0" w:lastRow="0" w:noHBand="0" w:noVBand="1" w:val="04A0"/>
      </w:tblPr>
      <w:tblGrid>
        <w:gridCol w:w="2016"/>
        <w:gridCol w:w="2016"/>
        <w:gridCol w:w="2016"/>
        <w:gridCol w:w="2016"/>
        <w:gridCol w:w="2016"/>
      </w:tblGrid>
      <w:tr>
        <w:tc>
          <w:tcPr>
            <w:tcW w:type="dxa" w:w="2016"/>
            <w:vAlign w:val="center"/>
            <w:shd w:fill="D9EAF7"/>
          </w:tcPr>
          <w:p>
            <w:r/>
            <w:r>
              <w:rPr>
                <w:b/>
                <w:sz w:val="18"/>
              </w:rPr>
              <w:t>Charging case</w:t>
            </w:r>
          </w:p>
        </w:tc>
        <w:tc>
          <w:tcPr>
            <w:tcW w:type="dxa" w:w="2016"/>
            <w:vAlign w:val="center"/>
            <w:shd w:fill="D9EAF7"/>
          </w:tcPr>
          <w:p>
            <w:r/>
            <w:r>
              <w:rPr>
                <w:b/>
                <w:sz w:val="18"/>
              </w:rPr>
              <w:t>Hours / year</w:t>
            </w:r>
          </w:p>
        </w:tc>
        <w:tc>
          <w:tcPr>
            <w:tcW w:type="dxa" w:w="2016"/>
            <w:vAlign w:val="center"/>
            <w:shd w:fill="D9EAF7"/>
          </w:tcPr>
          <w:p>
            <w:r/>
            <w:r>
              <w:rPr>
                <w:b/>
                <w:sz w:val="18"/>
              </w:rPr>
              <w:t>USDOT personal @ $19.40</w:t>
            </w:r>
          </w:p>
        </w:tc>
        <w:tc>
          <w:tcPr>
            <w:tcW w:type="dxa" w:w="2016"/>
            <w:vAlign w:val="center"/>
            <w:shd w:fill="D9EAF7"/>
          </w:tcPr>
          <w:p>
            <w:r/>
            <w:r>
              <w:rPr>
                <w:b/>
                <w:sz w:val="18"/>
              </w:rPr>
              <w:t>USDOT waiting/walking @ $38.80</w:t>
            </w:r>
          </w:p>
        </w:tc>
        <w:tc>
          <w:tcPr>
            <w:tcW w:type="dxa" w:w="2016"/>
            <w:vAlign w:val="center"/>
            <w:shd w:fill="D9EAF7"/>
          </w:tcPr>
          <w:p>
            <w:r/>
            <w:r>
              <w:rPr>
                <w:b/>
                <w:sz w:val="18"/>
              </w:rPr>
              <w:t>Alexandria income proxy @ $59.54</w:t>
            </w:r>
          </w:p>
        </w:tc>
      </w:tr>
      <w:tr>
        <w:tc>
          <w:tcPr>
            <w:tcW w:type="dxa" w:w="2016"/>
            <w:vAlign w:val="center"/>
          </w:tcPr>
          <w:p>
            <w:r/>
            <w:r>
              <w:rPr>
                <w:b w:val="0"/>
                <w:sz w:val="18"/>
              </w:rPr>
              <w:t>Mature public L2</w:t>
            </w:r>
          </w:p>
        </w:tc>
        <w:tc>
          <w:tcPr>
            <w:tcW w:type="dxa" w:w="2016"/>
            <w:vAlign w:val="center"/>
          </w:tcPr>
          <w:p>
            <w:r/>
            <w:r>
              <w:rPr>
                <w:b w:val="0"/>
                <w:sz w:val="18"/>
              </w:rPr>
              <w:t>78.1</w:t>
            </w:r>
          </w:p>
        </w:tc>
        <w:tc>
          <w:tcPr>
            <w:tcW w:type="dxa" w:w="2016"/>
            <w:vAlign w:val="center"/>
          </w:tcPr>
          <w:p>
            <w:r/>
            <w:r>
              <w:rPr>
                <w:b w:val="0"/>
                <w:sz w:val="18"/>
              </w:rPr>
              <w:t>$1,515</w:t>
            </w:r>
          </w:p>
        </w:tc>
        <w:tc>
          <w:tcPr>
            <w:tcW w:type="dxa" w:w="2016"/>
            <w:vAlign w:val="center"/>
          </w:tcPr>
          <w:p>
            <w:r/>
            <w:r>
              <w:rPr>
                <w:b w:val="0"/>
                <w:sz w:val="18"/>
              </w:rPr>
              <w:t>$3,030</w:t>
            </w:r>
          </w:p>
        </w:tc>
        <w:tc>
          <w:tcPr>
            <w:tcW w:type="dxa" w:w="2016"/>
            <w:vAlign w:val="center"/>
          </w:tcPr>
          <w:p>
            <w:r/>
            <w:r>
              <w:rPr>
                <w:b w:val="0"/>
                <w:sz w:val="18"/>
              </w:rPr>
              <w:t>$4,650</w:t>
            </w:r>
          </w:p>
        </w:tc>
      </w:tr>
      <w:tr>
        <w:tc>
          <w:tcPr>
            <w:tcW w:type="dxa" w:w="2016"/>
            <w:vAlign w:val="center"/>
          </w:tcPr>
          <w:p>
            <w:r/>
            <w:r>
              <w:rPr>
                <w:b w:val="0"/>
                <w:sz w:val="18"/>
              </w:rPr>
              <w:t>Optimistic DC fast</w:t>
            </w:r>
          </w:p>
        </w:tc>
        <w:tc>
          <w:tcPr>
            <w:tcW w:type="dxa" w:w="2016"/>
            <w:vAlign w:val="center"/>
          </w:tcPr>
          <w:p>
            <w:r/>
            <w:r>
              <w:rPr>
                <w:b w:val="0"/>
                <w:sz w:val="18"/>
              </w:rPr>
              <w:t>66.7</w:t>
            </w:r>
          </w:p>
        </w:tc>
        <w:tc>
          <w:tcPr>
            <w:tcW w:type="dxa" w:w="2016"/>
            <w:vAlign w:val="center"/>
          </w:tcPr>
          <w:p>
            <w:r/>
            <w:r>
              <w:rPr>
                <w:b w:val="0"/>
                <w:sz w:val="18"/>
              </w:rPr>
              <w:t>$1,294</w:t>
            </w:r>
          </w:p>
        </w:tc>
        <w:tc>
          <w:tcPr>
            <w:tcW w:type="dxa" w:w="2016"/>
            <w:vAlign w:val="center"/>
          </w:tcPr>
          <w:p>
            <w:r/>
            <w:r>
              <w:rPr>
                <w:b w:val="0"/>
                <w:sz w:val="18"/>
              </w:rPr>
              <w:t>$2,588</w:t>
            </w:r>
          </w:p>
        </w:tc>
        <w:tc>
          <w:tcPr>
            <w:tcW w:type="dxa" w:w="2016"/>
            <w:vAlign w:val="center"/>
          </w:tcPr>
          <w:p>
            <w:r/>
            <w:r>
              <w:rPr>
                <w:b w:val="0"/>
                <w:sz w:val="18"/>
              </w:rPr>
              <w:t>$3,971</w:t>
            </w:r>
          </w:p>
        </w:tc>
      </w:tr>
    </w:tbl>
    <w:p/>
    <w:p>
      <w:r>
        <w:t>This range is analytically useful. It lets policymakers disagree about the proper monetary value of household time without erasing the underlying 67-78 hours. The raw hours should therefore always be reported alongside monetized results.</w:t>
      </w:r>
    </w:p>
    <w:p>
      <w:pPr>
        <w:pStyle w:val="Heading2"/>
      </w:pPr>
      <w:r>
        <w:t>2.3 Aggregate citywide burden</w:t>
      </w:r>
    </w:p>
    <w:p>
      <w:r>
        <w:t>The existing Alexandria model uses 120,291 personal-use vehicles. Without parcel and parking GIS data, this paper does not claim a measured cross-curb-addressable share. Instead it uses 10%, 15%, and 20% of personal-use vehicles as low, central, and high scenarios. At full fleet scale those correspond to approximately 12,029, 18,044, and 24,058 potentially addressable vehicles.</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vAlign w:val="center"/>
            <w:shd w:fill="D9EAF7"/>
          </w:tcPr>
          <w:p>
            <w:r/>
            <w:r>
              <w:rPr>
                <w:b/>
                <w:sz w:val="18"/>
              </w:rPr>
              <w:t>EV penetration</w:t>
            </w:r>
          </w:p>
        </w:tc>
        <w:tc>
          <w:tcPr>
            <w:tcW w:type="dxa" w:w="1680"/>
            <w:vAlign w:val="center"/>
            <w:shd w:fill="D9EAF7"/>
          </w:tcPr>
          <w:p>
            <w:r/>
            <w:r>
              <w:rPr>
                <w:b/>
                <w:sz w:val="18"/>
              </w:rPr>
              <w:t>EVs</w:t>
            </w:r>
          </w:p>
        </w:tc>
        <w:tc>
          <w:tcPr>
            <w:tcW w:type="dxa" w:w="1680"/>
            <w:vAlign w:val="center"/>
            <w:shd w:fill="D9EAF7"/>
          </w:tcPr>
          <w:p>
            <w:r/>
            <w:r>
              <w:rPr>
                <w:b/>
                <w:sz w:val="18"/>
              </w:rPr>
              <w:t>15% addressable</w:t>
            </w:r>
          </w:p>
        </w:tc>
        <w:tc>
          <w:tcPr>
            <w:tcW w:type="dxa" w:w="1680"/>
            <w:vAlign w:val="center"/>
            <w:shd w:fill="D9EAF7"/>
          </w:tcPr>
          <w:p>
            <w:r/>
            <w:r>
              <w:rPr>
                <w:b/>
                <w:sz w:val="18"/>
              </w:rPr>
              <w:t>Extra electricity: L2</w:t>
            </w:r>
          </w:p>
        </w:tc>
        <w:tc>
          <w:tcPr>
            <w:tcW w:type="dxa" w:w="1680"/>
            <w:vAlign w:val="center"/>
            <w:shd w:fill="D9EAF7"/>
          </w:tcPr>
          <w:p>
            <w:r/>
            <w:r>
              <w:rPr>
                <w:b/>
                <w:sz w:val="18"/>
              </w:rPr>
              <w:t>Extra electricity: DCFC</w:t>
            </w:r>
          </w:p>
        </w:tc>
        <w:tc>
          <w:tcPr>
            <w:tcW w:type="dxa" w:w="1680"/>
            <w:vAlign w:val="center"/>
            <w:shd w:fill="D9EAF7"/>
          </w:tcPr>
          <w:p>
            <w:r/>
            <w:r>
              <w:rPr>
                <w:b/>
                <w:sz w:val="18"/>
              </w:rPr>
              <w:t>L2 time hours / yr</w:t>
            </w:r>
          </w:p>
        </w:tc>
      </w:tr>
      <w:tr>
        <w:tc>
          <w:tcPr>
            <w:tcW w:type="dxa" w:w="1680"/>
            <w:vAlign w:val="center"/>
          </w:tcPr>
          <w:p>
            <w:r/>
            <w:r>
              <w:rPr>
                <w:b w:val="0"/>
                <w:sz w:val="18"/>
              </w:rPr>
              <w:t>10%</w:t>
            </w:r>
          </w:p>
        </w:tc>
        <w:tc>
          <w:tcPr>
            <w:tcW w:type="dxa" w:w="1680"/>
            <w:vAlign w:val="center"/>
          </w:tcPr>
          <w:p>
            <w:r/>
            <w:r>
              <w:rPr>
                <w:b w:val="0"/>
                <w:sz w:val="18"/>
              </w:rPr>
              <w:t>12,029</w:t>
            </w:r>
          </w:p>
        </w:tc>
        <w:tc>
          <w:tcPr>
            <w:tcW w:type="dxa" w:w="1680"/>
            <w:vAlign w:val="center"/>
          </w:tcPr>
          <w:p>
            <w:r/>
            <w:r>
              <w:rPr>
                <w:b w:val="0"/>
                <w:sz w:val="18"/>
              </w:rPr>
              <w:t>1,804</w:t>
            </w:r>
          </w:p>
        </w:tc>
        <w:tc>
          <w:tcPr>
            <w:tcW w:type="dxa" w:w="1680"/>
            <w:vAlign w:val="center"/>
          </w:tcPr>
          <w:p>
            <w:r/>
            <w:r>
              <w:rPr>
                <w:b w:val="0"/>
                <w:sz w:val="18"/>
              </w:rPr>
              <w:t>$1,104,271</w:t>
            </w:r>
          </w:p>
        </w:tc>
        <w:tc>
          <w:tcPr>
            <w:tcW w:type="dxa" w:w="1680"/>
            <w:vAlign w:val="center"/>
          </w:tcPr>
          <w:p>
            <w:r/>
            <w:r>
              <w:rPr>
                <w:b w:val="0"/>
                <w:sz w:val="18"/>
              </w:rPr>
              <w:t>$1,753,843</w:t>
            </w:r>
          </w:p>
        </w:tc>
        <w:tc>
          <w:tcPr>
            <w:tcW w:type="dxa" w:w="1680"/>
            <w:vAlign w:val="center"/>
          </w:tcPr>
          <w:p>
            <w:r/>
            <w:r>
              <w:rPr>
                <w:b w:val="0"/>
                <w:sz w:val="18"/>
              </w:rPr>
              <w:t>141k</w:t>
            </w:r>
          </w:p>
        </w:tc>
      </w:tr>
      <w:tr>
        <w:tc>
          <w:tcPr>
            <w:tcW w:type="dxa" w:w="1680"/>
            <w:vAlign w:val="center"/>
          </w:tcPr>
          <w:p>
            <w:r/>
            <w:r>
              <w:rPr>
                <w:b w:val="0"/>
                <w:sz w:val="18"/>
              </w:rPr>
              <w:t>25%</w:t>
            </w:r>
          </w:p>
        </w:tc>
        <w:tc>
          <w:tcPr>
            <w:tcW w:type="dxa" w:w="1680"/>
            <w:vAlign w:val="center"/>
          </w:tcPr>
          <w:p>
            <w:r/>
            <w:r>
              <w:rPr>
                <w:b w:val="0"/>
                <w:sz w:val="18"/>
              </w:rPr>
              <w:t>30,073</w:t>
            </w:r>
          </w:p>
        </w:tc>
        <w:tc>
          <w:tcPr>
            <w:tcW w:type="dxa" w:w="1680"/>
            <w:vAlign w:val="center"/>
          </w:tcPr>
          <w:p>
            <w:r/>
            <w:r>
              <w:rPr>
                <w:b w:val="0"/>
                <w:sz w:val="18"/>
              </w:rPr>
              <w:t>4,511</w:t>
            </w:r>
          </w:p>
        </w:tc>
        <w:tc>
          <w:tcPr>
            <w:tcW w:type="dxa" w:w="1680"/>
            <w:vAlign w:val="center"/>
          </w:tcPr>
          <w:p>
            <w:r/>
            <w:r>
              <w:rPr>
                <w:b w:val="0"/>
                <w:sz w:val="18"/>
              </w:rPr>
              <w:t>$2,760,678</w:t>
            </w:r>
          </w:p>
        </w:tc>
        <w:tc>
          <w:tcPr>
            <w:tcW w:type="dxa" w:w="1680"/>
            <w:vAlign w:val="center"/>
          </w:tcPr>
          <w:p>
            <w:r/>
            <w:r>
              <w:rPr>
                <w:b w:val="0"/>
                <w:sz w:val="18"/>
              </w:rPr>
              <w:t>$4,384,607</w:t>
            </w:r>
          </w:p>
        </w:tc>
        <w:tc>
          <w:tcPr>
            <w:tcW w:type="dxa" w:w="1680"/>
            <w:vAlign w:val="center"/>
          </w:tcPr>
          <w:p>
            <w:r/>
            <w:r>
              <w:rPr>
                <w:b w:val="0"/>
                <w:sz w:val="18"/>
              </w:rPr>
              <w:t>352k</w:t>
            </w:r>
          </w:p>
        </w:tc>
      </w:tr>
      <w:tr>
        <w:tc>
          <w:tcPr>
            <w:tcW w:type="dxa" w:w="1680"/>
            <w:vAlign w:val="center"/>
          </w:tcPr>
          <w:p>
            <w:r/>
            <w:r>
              <w:rPr>
                <w:b w:val="0"/>
                <w:sz w:val="18"/>
              </w:rPr>
              <w:t>50%</w:t>
            </w:r>
          </w:p>
        </w:tc>
        <w:tc>
          <w:tcPr>
            <w:tcW w:type="dxa" w:w="1680"/>
            <w:vAlign w:val="center"/>
          </w:tcPr>
          <w:p>
            <w:r/>
            <w:r>
              <w:rPr>
                <w:b w:val="0"/>
                <w:sz w:val="18"/>
              </w:rPr>
              <w:t>60,146</w:t>
            </w:r>
          </w:p>
        </w:tc>
        <w:tc>
          <w:tcPr>
            <w:tcW w:type="dxa" w:w="1680"/>
            <w:vAlign w:val="center"/>
          </w:tcPr>
          <w:p>
            <w:r/>
            <w:r>
              <w:rPr>
                <w:b w:val="0"/>
                <w:sz w:val="18"/>
              </w:rPr>
              <w:t>9,022</w:t>
            </w:r>
          </w:p>
        </w:tc>
        <w:tc>
          <w:tcPr>
            <w:tcW w:type="dxa" w:w="1680"/>
            <w:vAlign w:val="center"/>
          </w:tcPr>
          <w:p>
            <w:r/>
            <w:r>
              <w:rPr>
                <w:b w:val="0"/>
                <w:sz w:val="18"/>
              </w:rPr>
              <w:t>$5,521,357</w:t>
            </w:r>
          </w:p>
        </w:tc>
        <w:tc>
          <w:tcPr>
            <w:tcW w:type="dxa" w:w="1680"/>
            <w:vAlign w:val="center"/>
          </w:tcPr>
          <w:p>
            <w:r/>
            <w:r>
              <w:rPr>
                <w:b w:val="0"/>
                <w:sz w:val="18"/>
              </w:rPr>
              <w:t>$8,769,214</w:t>
            </w:r>
          </w:p>
        </w:tc>
        <w:tc>
          <w:tcPr>
            <w:tcW w:type="dxa" w:w="1680"/>
            <w:vAlign w:val="center"/>
          </w:tcPr>
          <w:p>
            <w:r/>
            <w:r>
              <w:rPr>
                <w:b w:val="0"/>
                <w:sz w:val="18"/>
              </w:rPr>
              <w:t>705k</w:t>
            </w:r>
          </w:p>
        </w:tc>
      </w:tr>
      <w:tr>
        <w:tc>
          <w:tcPr>
            <w:tcW w:type="dxa" w:w="1680"/>
            <w:vAlign w:val="center"/>
          </w:tcPr>
          <w:p>
            <w:r/>
            <w:r>
              <w:rPr>
                <w:b w:val="0"/>
                <w:sz w:val="18"/>
              </w:rPr>
              <w:t>75%</w:t>
            </w:r>
          </w:p>
        </w:tc>
        <w:tc>
          <w:tcPr>
            <w:tcW w:type="dxa" w:w="1680"/>
            <w:vAlign w:val="center"/>
          </w:tcPr>
          <w:p>
            <w:r/>
            <w:r>
              <w:rPr>
                <w:b w:val="0"/>
                <w:sz w:val="18"/>
              </w:rPr>
              <w:t>90,218</w:t>
            </w:r>
          </w:p>
        </w:tc>
        <w:tc>
          <w:tcPr>
            <w:tcW w:type="dxa" w:w="1680"/>
            <w:vAlign w:val="center"/>
          </w:tcPr>
          <w:p>
            <w:r/>
            <w:r>
              <w:rPr>
                <w:b w:val="0"/>
                <w:sz w:val="18"/>
              </w:rPr>
              <w:t>13,533</w:t>
            </w:r>
          </w:p>
        </w:tc>
        <w:tc>
          <w:tcPr>
            <w:tcW w:type="dxa" w:w="1680"/>
            <w:vAlign w:val="center"/>
          </w:tcPr>
          <w:p>
            <w:r/>
            <w:r>
              <w:rPr>
                <w:b w:val="0"/>
                <w:sz w:val="18"/>
              </w:rPr>
              <w:t>$8,282,035</w:t>
            </w:r>
          </w:p>
        </w:tc>
        <w:tc>
          <w:tcPr>
            <w:tcW w:type="dxa" w:w="1680"/>
            <w:vAlign w:val="center"/>
          </w:tcPr>
          <w:p>
            <w:r/>
            <w:r>
              <w:rPr>
                <w:b w:val="0"/>
                <w:sz w:val="18"/>
              </w:rPr>
              <w:t>$13,153,821</w:t>
            </w:r>
          </w:p>
        </w:tc>
        <w:tc>
          <w:tcPr>
            <w:tcW w:type="dxa" w:w="1680"/>
            <w:vAlign w:val="center"/>
          </w:tcPr>
          <w:p>
            <w:r/>
            <w:r>
              <w:rPr>
                <w:b w:val="0"/>
                <w:sz w:val="18"/>
              </w:rPr>
              <w:t>1,057k</w:t>
            </w:r>
          </w:p>
        </w:tc>
      </w:tr>
      <w:tr>
        <w:tc>
          <w:tcPr>
            <w:tcW w:type="dxa" w:w="1680"/>
            <w:vAlign w:val="center"/>
          </w:tcPr>
          <w:p>
            <w:r/>
            <w:r>
              <w:rPr>
                <w:b w:val="0"/>
                <w:sz w:val="18"/>
              </w:rPr>
              <w:t>100%</w:t>
            </w:r>
          </w:p>
        </w:tc>
        <w:tc>
          <w:tcPr>
            <w:tcW w:type="dxa" w:w="1680"/>
            <w:vAlign w:val="center"/>
          </w:tcPr>
          <w:p>
            <w:r/>
            <w:r>
              <w:rPr>
                <w:b w:val="0"/>
                <w:sz w:val="18"/>
              </w:rPr>
              <w:t>120,291</w:t>
            </w:r>
          </w:p>
        </w:tc>
        <w:tc>
          <w:tcPr>
            <w:tcW w:type="dxa" w:w="1680"/>
            <w:vAlign w:val="center"/>
          </w:tcPr>
          <w:p>
            <w:r/>
            <w:r>
              <w:rPr>
                <w:b w:val="0"/>
                <w:sz w:val="18"/>
              </w:rPr>
              <w:t>18,044</w:t>
            </w:r>
          </w:p>
        </w:tc>
        <w:tc>
          <w:tcPr>
            <w:tcW w:type="dxa" w:w="1680"/>
            <w:vAlign w:val="center"/>
          </w:tcPr>
          <w:p>
            <w:r/>
            <w:r>
              <w:rPr>
                <w:b w:val="0"/>
                <w:sz w:val="18"/>
              </w:rPr>
              <w:t>$11,042,714</w:t>
            </w:r>
          </w:p>
        </w:tc>
        <w:tc>
          <w:tcPr>
            <w:tcW w:type="dxa" w:w="1680"/>
            <w:vAlign w:val="center"/>
          </w:tcPr>
          <w:p>
            <w:r/>
            <w:r>
              <w:rPr>
                <w:b w:val="0"/>
                <w:sz w:val="18"/>
              </w:rPr>
              <w:t>$17,538,428</w:t>
            </w:r>
          </w:p>
        </w:tc>
        <w:tc>
          <w:tcPr>
            <w:tcW w:type="dxa" w:w="1680"/>
            <w:vAlign w:val="center"/>
          </w:tcPr>
          <w:p>
            <w:r/>
            <w:r>
              <w:rPr>
                <w:b w:val="0"/>
                <w:sz w:val="18"/>
              </w:rPr>
              <w:t>1,409k</w:t>
            </w:r>
          </w:p>
        </w:tc>
      </w:tr>
    </w:tbl>
    <w:p/>
    <w:p>
      <w:r>
        <w:t>At 25% EV penetration, the central 15% addressable scenario implies roughly 4,500 affected EV households. Public L2 would impose about $2.8 million per year in additional electricity cost relative to residential charging and approximately 352,000 hours of charging-related time. The time result is not a City expenditure, but it is a real household burden that conventional charger-count metrics can miss.</w:t>
      </w:r>
    </w:p>
    <w:p>
      <w:pPr>
        <w:pStyle w:val="Heading2"/>
      </w:pPr>
      <w:r>
        <w:t>2.4 Shared infrastructure capital requirements</w:t>
      </w:r>
    </w:p>
    <w:p>
      <w:r>
        <w:t>The household charging-cost model and the infrastructure-capital model answer different questions. For commercial public charging, capital recovery is already embedded in a viable retail charging price. The companion Alexandria Level 2 break-even analysis annualizes installed capital over a five-year economic life and adds electricity, fixed operations and maintenance, and payment-processing costs. Adding the same charger capital again to the household price would therefore double count it. The physical capital requirement is still worth reporting separately because it shows the scale of infrastructure that must be financed before those retail rates can exist.</w:t>
      </w:r>
    </w:p>
    <w:p>
      <w:r>
        <w:t>Using the companion 25% EV-penetration scenario with a 35% shared-charging-dependent cohort, the system requires about 1,502 public Level 2 ports or about 160 30-minute DC fast-charging ports. At the Level 2 paper's $7,500 central installed-cost assumption, the L2 buildout represents about $11.3 million of installed charger capital. NREL provides an order-of-magnitude planning benchmark of about $150,000 purchase and installation cost per 150 kW DC fast-charging plug, which would place 160 ports at roughly $24 million. These figures are system capital requirements, not City expenditures, and actual site costs can vary materially because of utility interconnection, make-ready, trenching, permitting, transformer work, and other soft costs.</w:t>
      </w:r>
    </w:p>
    <w:tbl>
      <w:tblPr>
        <w:tblStyle w:val="TableGrid"/>
        <w:tblW w:type="auto" w:w="0"/>
        <w:tblLook w:firstColumn="1" w:firstRow="1" w:lastColumn="0" w:lastRow="0" w:noHBand="0" w:noVBand="1" w:val="04A0"/>
      </w:tblPr>
      <w:tblGrid>
        <w:gridCol w:w="2520"/>
        <w:gridCol w:w="2520"/>
        <w:gridCol w:w="2520"/>
        <w:gridCol w:w="2520"/>
      </w:tblGrid>
      <w:tr>
        <w:tc>
          <w:tcPr>
            <w:tcW w:type="dxa" w:w="2520"/>
            <w:shd w:fill="D9EAF7"/>
          </w:tcPr>
          <w:p>
            <w:r/>
            <w:r>
              <w:rPr>
                <w:b/>
                <w:sz w:val="17"/>
              </w:rPr>
              <w:t>Illustrative strategy at 25% EV penetration</w:t>
            </w:r>
          </w:p>
        </w:tc>
        <w:tc>
          <w:tcPr>
            <w:tcW w:type="dxa" w:w="2520"/>
            <w:shd w:fill="D9EAF7"/>
          </w:tcPr>
          <w:p>
            <w:r/>
            <w:r>
              <w:rPr>
                <w:b/>
                <w:sz w:val="17"/>
              </w:rPr>
              <w:t>Ports</w:t>
            </w:r>
          </w:p>
        </w:tc>
        <w:tc>
          <w:tcPr>
            <w:tcW w:type="dxa" w:w="2520"/>
            <w:shd w:fill="D9EAF7"/>
          </w:tcPr>
          <w:p>
            <w:r/>
            <w:r>
              <w:rPr>
                <w:b/>
                <w:sz w:val="17"/>
              </w:rPr>
              <w:t>Planning capital / port</w:t>
            </w:r>
          </w:p>
        </w:tc>
        <w:tc>
          <w:tcPr>
            <w:tcW w:type="dxa" w:w="2520"/>
            <w:shd w:fill="D9EAF7"/>
          </w:tcPr>
          <w:p>
            <w:r/>
            <w:r>
              <w:rPr>
                <w:b/>
                <w:sz w:val="17"/>
              </w:rPr>
              <w:t>Approx. installed capital</w:t>
            </w:r>
          </w:p>
        </w:tc>
      </w:tr>
      <w:tr>
        <w:tc>
          <w:tcPr>
            <w:tcW w:type="dxa" w:w="2520"/>
          </w:tcPr>
          <w:p>
            <w:r/>
            <w:r>
              <w:rPr>
                <w:b w:val="0"/>
                <w:sz w:val="17"/>
              </w:rPr>
              <w:t>Public L2 - low install case</w:t>
            </w:r>
          </w:p>
        </w:tc>
        <w:tc>
          <w:tcPr>
            <w:tcW w:type="dxa" w:w="2520"/>
          </w:tcPr>
          <w:p>
            <w:r/>
            <w:r>
              <w:rPr>
                <w:b w:val="0"/>
                <w:sz w:val="17"/>
              </w:rPr>
              <w:t>1,502</w:t>
            </w:r>
          </w:p>
        </w:tc>
        <w:tc>
          <w:tcPr>
            <w:tcW w:type="dxa" w:w="2520"/>
          </w:tcPr>
          <w:p>
            <w:r/>
            <w:r>
              <w:rPr>
                <w:b w:val="0"/>
                <w:sz w:val="17"/>
              </w:rPr>
              <w:t>$3,000</w:t>
            </w:r>
          </w:p>
        </w:tc>
        <w:tc>
          <w:tcPr>
            <w:tcW w:type="dxa" w:w="2520"/>
          </w:tcPr>
          <w:p>
            <w:r/>
            <w:r>
              <w:rPr>
                <w:b w:val="0"/>
                <w:sz w:val="17"/>
              </w:rPr>
              <w:t>$4.5M</w:t>
            </w:r>
          </w:p>
        </w:tc>
      </w:tr>
      <w:tr>
        <w:tc>
          <w:tcPr>
            <w:tcW w:type="dxa" w:w="2520"/>
          </w:tcPr>
          <w:p>
            <w:r/>
            <w:r>
              <w:rPr>
                <w:b w:val="0"/>
                <w:sz w:val="17"/>
              </w:rPr>
              <w:t>Public L2 - central case</w:t>
            </w:r>
          </w:p>
        </w:tc>
        <w:tc>
          <w:tcPr>
            <w:tcW w:type="dxa" w:w="2520"/>
          </w:tcPr>
          <w:p>
            <w:r/>
            <w:r>
              <w:rPr>
                <w:b w:val="0"/>
                <w:sz w:val="17"/>
              </w:rPr>
              <w:t>1,502</w:t>
            </w:r>
          </w:p>
        </w:tc>
        <w:tc>
          <w:tcPr>
            <w:tcW w:type="dxa" w:w="2520"/>
          </w:tcPr>
          <w:p>
            <w:r/>
            <w:r>
              <w:rPr>
                <w:b w:val="0"/>
                <w:sz w:val="17"/>
              </w:rPr>
              <w:t>$7,500</w:t>
            </w:r>
          </w:p>
        </w:tc>
        <w:tc>
          <w:tcPr>
            <w:tcW w:type="dxa" w:w="2520"/>
          </w:tcPr>
          <w:p>
            <w:r/>
            <w:r>
              <w:rPr>
                <w:b w:val="0"/>
                <w:sz w:val="17"/>
              </w:rPr>
              <w:t>$11.3M</w:t>
            </w:r>
          </w:p>
        </w:tc>
      </w:tr>
      <w:tr>
        <w:tc>
          <w:tcPr>
            <w:tcW w:type="dxa" w:w="2520"/>
          </w:tcPr>
          <w:p>
            <w:r/>
            <w:r>
              <w:rPr>
                <w:b w:val="0"/>
                <w:sz w:val="17"/>
              </w:rPr>
              <w:t>Public L2 - high install case</w:t>
            </w:r>
          </w:p>
        </w:tc>
        <w:tc>
          <w:tcPr>
            <w:tcW w:type="dxa" w:w="2520"/>
          </w:tcPr>
          <w:p>
            <w:r/>
            <w:r>
              <w:rPr>
                <w:b w:val="0"/>
                <w:sz w:val="17"/>
              </w:rPr>
              <w:t>1,502</w:t>
            </w:r>
          </w:p>
        </w:tc>
        <w:tc>
          <w:tcPr>
            <w:tcW w:type="dxa" w:w="2520"/>
          </w:tcPr>
          <w:p>
            <w:r/>
            <w:r>
              <w:rPr>
                <w:b w:val="0"/>
                <w:sz w:val="17"/>
              </w:rPr>
              <w:t>$15,000</w:t>
            </w:r>
          </w:p>
        </w:tc>
        <w:tc>
          <w:tcPr>
            <w:tcW w:type="dxa" w:w="2520"/>
          </w:tcPr>
          <w:p>
            <w:r/>
            <w:r>
              <w:rPr>
                <w:b w:val="0"/>
                <w:sz w:val="17"/>
              </w:rPr>
              <w:t>$22.5M</w:t>
            </w:r>
          </w:p>
        </w:tc>
      </w:tr>
      <w:tr>
        <w:tc>
          <w:tcPr>
            <w:tcW w:type="dxa" w:w="2520"/>
          </w:tcPr>
          <w:p>
            <w:r/>
            <w:r>
              <w:rPr>
                <w:b w:val="0"/>
                <w:sz w:val="17"/>
              </w:rPr>
              <w:t>DC fast - 150 kW planning benchmark</w:t>
            </w:r>
          </w:p>
        </w:tc>
        <w:tc>
          <w:tcPr>
            <w:tcW w:type="dxa" w:w="2520"/>
          </w:tcPr>
          <w:p>
            <w:r/>
            <w:r>
              <w:rPr>
                <w:b w:val="0"/>
                <w:sz w:val="17"/>
              </w:rPr>
              <w:t>160</w:t>
            </w:r>
          </w:p>
        </w:tc>
        <w:tc>
          <w:tcPr>
            <w:tcW w:type="dxa" w:w="2520"/>
          </w:tcPr>
          <w:p>
            <w:r/>
            <w:r>
              <w:rPr>
                <w:b w:val="0"/>
                <w:sz w:val="17"/>
              </w:rPr>
              <w:t>~$150,000</w:t>
            </w:r>
          </w:p>
        </w:tc>
        <w:tc>
          <w:tcPr>
            <w:tcW w:type="dxa" w:w="2520"/>
          </w:tcPr>
          <w:p>
            <w:r/>
            <w:r>
              <w:rPr>
                <w:b w:val="0"/>
                <w:sz w:val="17"/>
              </w:rPr>
              <w:t>~$24.0M</w:t>
            </w:r>
          </w:p>
        </w:tc>
      </w:tr>
      <w:tr>
        <w:tc>
          <w:tcPr>
            <w:tcW w:type="dxa" w:w="2520"/>
          </w:tcPr>
          <w:p>
            <w:r/>
            <w:r>
              <w:rPr>
                <w:b w:val="0"/>
                <w:sz w:val="17"/>
              </w:rPr>
              <w:t>50% cross-curb + remaining DC fast</w:t>
            </w:r>
          </w:p>
        </w:tc>
        <w:tc>
          <w:tcPr>
            <w:tcW w:type="dxa" w:w="2520"/>
          </w:tcPr>
          <w:p>
            <w:r/>
            <w:r>
              <w:rPr>
                <w:b w:val="0"/>
                <w:sz w:val="17"/>
              </w:rPr>
              <w:t>80 DC fast ports</w:t>
            </w:r>
          </w:p>
        </w:tc>
        <w:tc>
          <w:tcPr>
            <w:tcW w:type="dxa" w:w="2520"/>
          </w:tcPr>
          <w:p>
            <w:r/>
            <w:r>
              <w:rPr>
                <w:b w:val="0"/>
                <w:sz w:val="17"/>
              </w:rPr>
              <w:t>~$150,000</w:t>
            </w:r>
          </w:p>
        </w:tc>
        <w:tc>
          <w:tcPr>
            <w:tcW w:type="dxa" w:w="2520"/>
          </w:tcPr>
          <w:p>
            <w:r/>
            <w:r>
              <w:rPr>
                <w:b w:val="0"/>
                <w:sz w:val="17"/>
              </w:rPr>
              <w:t>~$12.0M of shared DC fast capital, plus household charging equipment</w:t>
            </w:r>
          </w:p>
        </w:tc>
      </w:tr>
    </w:tbl>
    <w:p>
      <w:r>
        <w:t>Home charging is not free. The base residential model assumes a $1,500 installed home charger and a $300 removable cable ramp, or $1,800 in household capital before any insurance requirement. That equipment is a private household asset rather than shared public infrastructure. A fair comparison should therefore report both sides: cross-curb access can reduce the shared infrastructure requirement, but participating households still finance their own charger and crossing solution.</w:t>
      </w:r>
    </w:p>
    <w:p>
      <w:pPr>
        <w:pStyle w:val="Heading2"/>
      </w:pPr>
      <w:r>
        <w:t>2.5 Residential cross-curb implementation costs</w:t>
      </w:r>
    </w:p>
    <w:p>
      <w:pPr>
        <w:pStyle w:val="Normal"/>
      </w:pPr>
      <w:r>
        <w:t>Residential crossing equipment is not free, but its capital cost should be analyzed separately from the recurring charging-access burden. A companion paper, Cross-Curb EV Charging in Alexandria: Options, Preliminary Costs, and a Practical Permit Pathway, compares removable ramps, recessed cable channels, overhead arms, and emerging flat cables. It uses a provisional Alexandria planning range of approximately $1,250-$2,250 for a simple recessed channel crossing, excluding the home EVSE, with about $1,750 as a central modeling value. The estimate is not a contractor quote and should be replaced by Alexandria pilot or bid data.</w:t>
      </w:r>
    </w:p>
    <w:p>
      <w:pPr>
        <w:pStyle w:val="Heading1"/>
      </w:pPr>
      <w:r>
        <w:t>3. Why Charging Access Can Change EV Adoption</w:t>
      </w:r>
    </w:p>
    <w:p>
      <w:r>
        <w:t>Recent empirical research supports treating home-charging access as an adoption variable rather than merely an amenity. A 2026 study in Transportation Research Part D, using detailed household-level data, finds that homes with inadequate parking are less likely to adopt a BEV even after controlling for home value and vehicle preferences. The authors conclude that home-charging access is instrumental to EV adoption.</w:t>
      </w:r>
    </w:p>
    <w:p>
      <w:r>
        <w:t>A 2026 causal analysis using Scottish household data similarly finds that enabling off-street/home-charging access increases the modeled probability of EV ownership from 3.3% to 5.6%, a 2.3 percentage-point absolute increase. The study also cautions that ordinary observational models overstate the isolated parking effect because income is a major confounder. For Alexandria, this supports scenario analysis rather than transplanting a foreign point estimate.</w:t>
      </w:r>
    </w:p>
    <w:p>
      <w:r>
        <w:t>Accordingly, the lock-in model uses a 5-, 10-, and 15-percentage-point increase in EV selection among vehicle-replacement decisions in the potentially addressable population. These are sensitivity cases, not forecasts.</w:t>
      </w:r>
    </w:p>
    <w:p>
      <w:pPr>
        <w:pStyle w:val="Heading1"/>
      </w:pPr>
      <w:r>
        <w:t>4. Vehicle Lock-In Model</w:t>
      </w:r>
    </w:p>
    <w:p>
      <w:r>
        <w:t>The central scenario assumes 15% of Alexandria's 120,291 personal-use vehicles are in households potentially addressable by cross-curb charging. That is approximately 18,044 vehicles. iSeeCars reports that owners keep a new car for an average of 8.4 years. Dividing the addressable stock by that holding period yields approximately 2,148 replacement decisions per year.</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center"/>
            <w:shd w:fill="D9EAF7"/>
          </w:tcPr>
          <w:p>
            <w:r/>
            <w:r>
              <w:rPr>
                <w:b/>
                <w:sz w:val="18"/>
              </w:rPr>
              <w:t>Adoption effect</w:t>
            </w:r>
          </w:p>
        </w:tc>
        <w:tc>
          <w:tcPr>
            <w:tcW w:type="dxa" w:w="3360"/>
            <w:vAlign w:val="center"/>
            <w:shd w:fill="D9EAF7"/>
          </w:tcPr>
          <w:p>
            <w:r/>
            <w:r>
              <w:rPr>
                <w:b/>
                <w:sz w:val="18"/>
              </w:rPr>
              <w:t>Induced ICE purchases / year</w:t>
            </w:r>
          </w:p>
        </w:tc>
        <w:tc>
          <w:tcPr>
            <w:tcW w:type="dxa" w:w="3360"/>
            <w:vAlign w:val="center"/>
            <w:shd w:fill="D9EAF7"/>
          </w:tcPr>
          <w:p>
            <w:r/>
            <w:r>
              <w:rPr>
                <w:b/>
                <w:sz w:val="18"/>
              </w:rPr>
              <w:t>Committed vehicle-years per year of delay</w:t>
            </w:r>
          </w:p>
        </w:tc>
      </w:tr>
      <w:tr>
        <w:tc>
          <w:tcPr>
            <w:tcW w:type="dxa" w:w="3360"/>
            <w:vAlign w:val="center"/>
          </w:tcPr>
          <w:p>
            <w:r/>
            <w:r>
              <w:rPr>
                <w:b w:val="0"/>
                <w:sz w:val="18"/>
              </w:rPr>
              <w:t>5 percentage points</w:t>
            </w:r>
          </w:p>
        </w:tc>
        <w:tc>
          <w:tcPr>
            <w:tcW w:type="dxa" w:w="3360"/>
            <w:vAlign w:val="center"/>
          </w:tcPr>
          <w:p>
            <w:r/>
            <w:r>
              <w:rPr>
                <w:b w:val="0"/>
                <w:sz w:val="18"/>
              </w:rPr>
              <w:t>107</w:t>
            </w:r>
          </w:p>
        </w:tc>
        <w:tc>
          <w:tcPr>
            <w:tcW w:type="dxa" w:w="3360"/>
            <w:vAlign w:val="center"/>
          </w:tcPr>
          <w:p>
            <w:r/>
            <w:r>
              <w:rPr>
                <w:b w:val="0"/>
                <w:sz w:val="18"/>
              </w:rPr>
              <w:t>902</w:t>
            </w:r>
          </w:p>
        </w:tc>
      </w:tr>
      <w:tr>
        <w:tc>
          <w:tcPr>
            <w:tcW w:type="dxa" w:w="3360"/>
            <w:vAlign w:val="center"/>
          </w:tcPr>
          <w:p>
            <w:r/>
            <w:r>
              <w:rPr>
                <w:b w:val="0"/>
                <w:sz w:val="18"/>
              </w:rPr>
              <w:t>10 percentage points</w:t>
            </w:r>
          </w:p>
        </w:tc>
        <w:tc>
          <w:tcPr>
            <w:tcW w:type="dxa" w:w="3360"/>
            <w:vAlign w:val="center"/>
          </w:tcPr>
          <w:p>
            <w:r/>
            <w:r>
              <w:rPr>
                <w:b w:val="0"/>
                <w:sz w:val="18"/>
              </w:rPr>
              <w:t>215</w:t>
            </w:r>
          </w:p>
        </w:tc>
        <w:tc>
          <w:tcPr>
            <w:tcW w:type="dxa" w:w="3360"/>
            <w:vAlign w:val="center"/>
          </w:tcPr>
          <w:p>
            <w:r/>
            <w:r>
              <w:rPr>
                <w:b w:val="0"/>
                <w:sz w:val="18"/>
              </w:rPr>
              <w:t>1,804</w:t>
            </w:r>
          </w:p>
        </w:tc>
      </w:tr>
      <w:tr>
        <w:tc>
          <w:tcPr>
            <w:tcW w:type="dxa" w:w="3360"/>
            <w:vAlign w:val="center"/>
          </w:tcPr>
          <w:p>
            <w:r/>
            <w:r>
              <w:rPr>
                <w:b w:val="0"/>
                <w:sz w:val="18"/>
              </w:rPr>
              <w:t>15 percentage points</w:t>
            </w:r>
          </w:p>
        </w:tc>
        <w:tc>
          <w:tcPr>
            <w:tcW w:type="dxa" w:w="3360"/>
            <w:vAlign w:val="center"/>
          </w:tcPr>
          <w:p>
            <w:r/>
            <w:r>
              <w:rPr>
                <w:b w:val="0"/>
                <w:sz w:val="18"/>
              </w:rPr>
              <w:t>322</w:t>
            </w:r>
          </w:p>
        </w:tc>
        <w:tc>
          <w:tcPr>
            <w:tcW w:type="dxa" w:w="3360"/>
            <w:vAlign w:val="center"/>
          </w:tcPr>
          <w:p>
            <w:r/>
            <w:r>
              <w:rPr>
                <w:b w:val="0"/>
                <w:sz w:val="18"/>
              </w:rPr>
              <w:t>2,707</w:t>
            </w:r>
          </w:p>
        </w:tc>
      </w:tr>
    </w:tbl>
    <w:p/>
    <w:p>
      <w:r>
        <w:t>The term 'induced ICE purchase' means a modeled vehicle purchase that would have been an EV if practical residential charging were available but becomes a gasoline vehicle under the charging constraint. It does not mean the vehicle would necessarily remain registered in Alexandria for its entire life. The model tracks the consequence of the Alexandria household purchase decision over the assumed household holding period.</w:t>
      </w:r>
    </w:p>
    <w:p>
      <w:pPr>
        <w:pStyle w:val="Heading2"/>
      </w:pPr>
      <w:r>
        <w:t>4.1 Operating-cost lock-in</w:t>
      </w:r>
    </w:p>
    <w:p>
      <w:r>
        <w:t>Using the September 3, 2026 AAA Washington, DC (Virginia-only) regular-gasoline average of $4.011/gallon, a representative 30-mpg gasoline vehicle spends about 13.4 cents per mile on fuel. Adding the Consumer Reports maintenance estimate of 6.1 cents/mile yields about 19.5 cents/mile in fuel plus maintenance. A home-charged EV at 13 cents/kWh, 0.30 kWh/mile, and 3.1 cents/mile maintenance costs about 7.0 cents/mile. The difference is approximately 12.5 cents/mile, or $1,496 per year at 12,000 miles.</w:t>
      </w:r>
    </w:p>
    <w:p>
      <w:r>
        <w:t>Over an 8.4-year holding period, each induced gasoline purchase commits about $12,570 in foregone household operating savings before discounting. This is an operating-cost comparison only. It intentionally excludes differences in vehicle purchase price, financing, depreciation, insurance, taxes, and resale value.</w:t>
      </w:r>
    </w:p>
    <w:p>
      <w:pPr>
        <w:pStyle w:val="Heading2"/>
      </w:pPr>
      <w:r>
        <w:t>4.2 Operational carbon lock-in</w:t>
      </w:r>
    </w:p>
    <w:p>
      <w:r>
        <w:t>EPA's standard gasoline combustion factor is 8,887 grams CO2 per gallon. At 30 mpg, that is approximately 296 grams CO2 per mile at the tailpipe. EIA reports Virginia electricity-sector carbon intensity of 631 lb CO2/MWh in 2024, equivalent to about 286 grams CO2/kWh. At 0.30 kWh/mile, the EV's generation-related operational emissions are approximately 86 grams/mile. The resulting operational difference is about 210 grams/mile, or 2.52 metric tons per vehicle-year.</w:t>
      </w:r>
    </w:p>
    <w:p>
      <w:r>
        <w:t>Over 8.4 years, that is approximately 21.2 metric tons of operational CO2 per induced gasoline purchase. This is not a full lifecycle estimate. DOE's GREET framework finds that a representative 2025 EV produces about 46% less lifecycle greenhouse-gas emissions than a comparable gasoline vehicle, indicating that the direction of the result persists when manufacturing and upstream fuel production are included.</w:t>
      </w:r>
    </w:p>
    <w:p>
      <w:pPr>
        <w:pStyle w:val="Heading2"/>
      </w:pPr>
      <w:r>
        <w:t>4.3 Delay scenarios</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vAlign w:val="center"/>
            <w:shd w:fill="D9EAF7"/>
          </w:tcPr>
          <w:p>
            <w:r/>
            <w:r>
              <w:rPr>
                <w:b/>
                <w:sz w:val="18"/>
              </w:rPr>
              <w:t>Policy delay</w:t>
            </w:r>
          </w:p>
        </w:tc>
        <w:tc>
          <w:tcPr>
            <w:tcW w:type="dxa" w:w="1680"/>
            <w:vAlign w:val="center"/>
            <w:shd w:fill="D9EAF7"/>
          </w:tcPr>
          <w:p>
            <w:r/>
            <w:r>
              <w:rPr>
                <w:b/>
                <w:sz w:val="18"/>
              </w:rPr>
              <w:t>Induced ICE purchases</w:t>
            </w:r>
          </w:p>
        </w:tc>
        <w:tc>
          <w:tcPr>
            <w:tcW w:type="dxa" w:w="1680"/>
            <w:vAlign w:val="center"/>
            <w:shd w:fill="D9EAF7"/>
          </w:tcPr>
          <w:p>
            <w:r/>
            <w:r>
              <w:rPr>
                <w:b/>
                <w:sz w:val="18"/>
              </w:rPr>
              <w:t>Committed future ICE vehicle-years</w:t>
            </w:r>
          </w:p>
        </w:tc>
        <w:tc>
          <w:tcPr>
            <w:tcW w:type="dxa" w:w="1680"/>
            <w:vAlign w:val="center"/>
            <w:shd w:fill="D9EAF7"/>
          </w:tcPr>
          <w:p>
            <w:r/>
            <w:r>
              <w:rPr>
                <w:b/>
                <w:sz w:val="18"/>
              </w:rPr>
              <w:t>Approx. vehicle-years realized by enactment</w:t>
            </w:r>
          </w:p>
        </w:tc>
        <w:tc>
          <w:tcPr>
            <w:tcW w:type="dxa" w:w="1680"/>
            <w:vAlign w:val="center"/>
            <w:shd w:fill="D9EAF7"/>
          </w:tcPr>
          <w:p>
            <w:r/>
            <w:r>
              <w:rPr>
                <w:b/>
                <w:sz w:val="18"/>
              </w:rPr>
              <w:t>Foregone operating savings</w:t>
            </w:r>
          </w:p>
        </w:tc>
        <w:tc>
          <w:tcPr>
            <w:tcW w:type="dxa" w:w="1680"/>
            <w:vAlign w:val="center"/>
            <w:shd w:fill="D9EAF7"/>
          </w:tcPr>
          <w:p>
            <w:r/>
            <w:r>
              <w:rPr>
                <w:b/>
                <w:sz w:val="18"/>
              </w:rPr>
              <w:t>Additional operational CO2</w:t>
            </w:r>
          </w:p>
        </w:tc>
      </w:tr>
      <w:tr>
        <w:tc>
          <w:tcPr>
            <w:tcW w:type="dxa" w:w="1680"/>
            <w:vAlign w:val="center"/>
          </w:tcPr>
          <w:p>
            <w:r/>
            <w:r>
              <w:rPr>
                <w:b w:val="0"/>
                <w:sz w:val="18"/>
              </w:rPr>
              <w:t>1 year</w:t>
            </w:r>
          </w:p>
        </w:tc>
        <w:tc>
          <w:tcPr>
            <w:tcW w:type="dxa" w:w="1680"/>
            <w:vAlign w:val="center"/>
          </w:tcPr>
          <w:p>
            <w:r/>
            <w:r>
              <w:rPr>
                <w:b w:val="0"/>
                <w:sz w:val="18"/>
              </w:rPr>
              <w:t>215</w:t>
            </w:r>
          </w:p>
        </w:tc>
        <w:tc>
          <w:tcPr>
            <w:tcW w:type="dxa" w:w="1680"/>
            <w:vAlign w:val="center"/>
          </w:tcPr>
          <w:p>
            <w:r/>
            <w:r>
              <w:rPr>
                <w:b w:val="0"/>
                <w:sz w:val="18"/>
              </w:rPr>
              <w:t>1,804</w:t>
            </w:r>
          </w:p>
        </w:tc>
        <w:tc>
          <w:tcPr>
            <w:tcW w:type="dxa" w:w="1680"/>
            <w:vAlign w:val="center"/>
          </w:tcPr>
          <w:p>
            <w:r/>
            <w:r>
              <w:rPr>
                <w:b w:val="0"/>
                <w:sz w:val="18"/>
              </w:rPr>
              <w:t>215</w:t>
            </w:r>
          </w:p>
        </w:tc>
        <w:tc>
          <w:tcPr>
            <w:tcW w:type="dxa" w:w="1680"/>
            <w:vAlign w:val="center"/>
          </w:tcPr>
          <w:p>
            <w:r/>
            <w:r>
              <w:rPr>
                <w:b w:val="0"/>
                <w:sz w:val="18"/>
              </w:rPr>
              <w:t>$2,700,052</w:t>
            </w:r>
          </w:p>
        </w:tc>
        <w:tc>
          <w:tcPr>
            <w:tcW w:type="dxa" w:w="1680"/>
            <w:vAlign w:val="center"/>
          </w:tcPr>
          <w:p>
            <w:r/>
            <w:r>
              <w:rPr>
                <w:b w:val="0"/>
                <w:sz w:val="18"/>
              </w:rPr>
              <w:t>4,555 MT</w:t>
            </w:r>
          </w:p>
        </w:tc>
      </w:tr>
      <w:tr>
        <w:tc>
          <w:tcPr>
            <w:tcW w:type="dxa" w:w="1680"/>
            <w:vAlign w:val="center"/>
          </w:tcPr>
          <w:p>
            <w:r/>
            <w:r>
              <w:rPr>
                <w:b w:val="0"/>
                <w:sz w:val="18"/>
              </w:rPr>
              <w:t>3 years</w:t>
            </w:r>
          </w:p>
        </w:tc>
        <w:tc>
          <w:tcPr>
            <w:tcW w:type="dxa" w:w="1680"/>
            <w:vAlign w:val="center"/>
          </w:tcPr>
          <w:p>
            <w:r/>
            <w:r>
              <w:rPr>
                <w:b w:val="0"/>
                <w:sz w:val="18"/>
              </w:rPr>
              <w:t>644</w:t>
            </w:r>
          </w:p>
        </w:tc>
        <w:tc>
          <w:tcPr>
            <w:tcW w:type="dxa" w:w="1680"/>
            <w:vAlign w:val="center"/>
          </w:tcPr>
          <w:p>
            <w:r/>
            <w:r>
              <w:rPr>
                <w:b w:val="0"/>
                <w:sz w:val="18"/>
              </w:rPr>
              <w:t>5,413</w:t>
            </w:r>
          </w:p>
        </w:tc>
        <w:tc>
          <w:tcPr>
            <w:tcW w:type="dxa" w:w="1680"/>
            <w:vAlign w:val="center"/>
          </w:tcPr>
          <w:p>
            <w:r/>
            <w:r>
              <w:rPr>
                <w:b w:val="0"/>
                <w:sz w:val="18"/>
              </w:rPr>
              <w:t>1,289</w:t>
            </w:r>
          </w:p>
        </w:tc>
        <w:tc>
          <w:tcPr>
            <w:tcW w:type="dxa" w:w="1680"/>
            <w:vAlign w:val="center"/>
          </w:tcPr>
          <w:p>
            <w:r/>
            <w:r>
              <w:rPr>
                <w:b w:val="0"/>
                <w:sz w:val="18"/>
              </w:rPr>
              <w:t>$8,100,155</w:t>
            </w:r>
          </w:p>
        </w:tc>
        <w:tc>
          <w:tcPr>
            <w:tcW w:type="dxa" w:w="1680"/>
            <w:vAlign w:val="center"/>
          </w:tcPr>
          <w:p>
            <w:r/>
            <w:r>
              <w:rPr>
                <w:b w:val="0"/>
                <w:sz w:val="18"/>
              </w:rPr>
              <w:t>13,665 MT</w:t>
            </w:r>
          </w:p>
        </w:tc>
      </w:tr>
      <w:tr>
        <w:tc>
          <w:tcPr>
            <w:tcW w:type="dxa" w:w="1680"/>
            <w:vAlign w:val="center"/>
          </w:tcPr>
          <w:p>
            <w:r/>
            <w:r>
              <w:rPr>
                <w:b w:val="0"/>
                <w:sz w:val="18"/>
              </w:rPr>
              <w:t>5 years</w:t>
            </w:r>
          </w:p>
        </w:tc>
        <w:tc>
          <w:tcPr>
            <w:tcW w:type="dxa" w:w="1680"/>
            <w:vAlign w:val="center"/>
          </w:tcPr>
          <w:p>
            <w:r/>
            <w:r>
              <w:rPr>
                <w:b w:val="0"/>
                <w:sz w:val="18"/>
              </w:rPr>
              <w:t>1,074</w:t>
            </w:r>
          </w:p>
        </w:tc>
        <w:tc>
          <w:tcPr>
            <w:tcW w:type="dxa" w:w="1680"/>
            <w:vAlign w:val="center"/>
          </w:tcPr>
          <w:p>
            <w:r/>
            <w:r>
              <w:rPr>
                <w:b w:val="0"/>
                <w:sz w:val="18"/>
              </w:rPr>
              <w:t>9,022</w:t>
            </w:r>
          </w:p>
        </w:tc>
        <w:tc>
          <w:tcPr>
            <w:tcW w:type="dxa" w:w="1680"/>
            <w:vAlign w:val="center"/>
          </w:tcPr>
          <w:p>
            <w:r/>
            <w:r>
              <w:rPr>
                <w:b w:val="0"/>
                <w:sz w:val="18"/>
              </w:rPr>
              <w:t>3,222</w:t>
            </w:r>
          </w:p>
        </w:tc>
        <w:tc>
          <w:tcPr>
            <w:tcW w:type="dxa" w:w="1680"/>
            <w:vAlign w:val="center"/>
          </w:tcPr>
          <w:p>
            <w:r/>
            <w:r>
              <w:rPr>
                <w:b w:val="0"/>
                <w:sz w:val="18"/>
              </w:rPr>
              <w:t>$13,500,259</w:t>
            </w:r>
          </w:p>
        </w:tc>
        <w:tc>
          <w:tcPr>
            <w:tcW w:type="dxa" w:w="1680"/>
            <w:vAlign w:val="center"/>
          </w:tcPr>
          <w:p>
            <w:r/>
            <w:r>
              <w:rPr>
                <w:b w:val="0"/>
                <w:sz w:val="18"/>
              </w:rPr>
              <w:t>22,775 MT</w:t>
            </w:r>
          </w:p>
        </w:tc>
      </w:tr>
    </w:tbl>
    <w:p/>
    <w:p>
      <w:r>
        <w:t>Two delay concepts should be kept distinct. 'Committed future vehicle-years' measures the expected lifetime operating exposure created by the induced purchases. 'Vehicle-years realized by enactment' measures only the burden accumulated while the City is still waiting to change policy. A policy can therefore stop creating new lock-in when changed, while already-purchased gasoline vehicles continue producing costs and emissions afterward.</w:t>
      </w:r>
    </w:p>
    <w:p>
      <w:pPr>
        <w:pStyle w:val="Heading1"/>
      </w:pPr>
      <w:r>
        <w:t>5. Public Health and the Geography of the Benefit</w:t>
      </w:r>
    </w:p>
    <w:p>
      <w:r>
        <w:t>The climate calculation above counts operational CO2. Public-health effects are more geographically specific. A BEV has no tailpipe exhaust emissions, so replacing a gasoline vehicle eliminates local tailpipe emissions where the vehicle is driven. The magnitude of avoided local NOx, VOC, and particulate-related exposure depends on vehicle technology, driving conditions, and where miles occur. This paper therefore does not monetize health benefits. The web model should report public health qualitatively unless a later phase adds an emissions model suitable for local exposure analysis.</w:t>
      </w:r>
    </w:p>
    <w:p>
      <w:r>
        <w:t>This distinction also prevents overclaiming. Some vehicles purchased by Alexandria households will later leave the City, while some driving occurs outside City boundaries. Household operating savings can be attributed to the household purchase decision more directly than all future emissions can be attributed to Alexandria's territorial emissions inventory.</w:t>
      </w:r>
    </w:p>
    <w:p>
      <w:pPr>
        <w:pStyle w:val="Heading1"/>
      </w:pPr>
      <w:r>
        <w:t>6. Policy Interpretation</w:t>
      </w:r>
    </w:p>
    <w:p>
      <w:r>
        <w:t>The results point to a policy asymmetry. Conventional charging analysis tends to count infrastructure units, electricity prices, and capital costs while treating residents' access time as zero. Yet USDOT benefit-cost practice recognizes time as an economic resource. A policy that forces a resident to make dozens or hundreds of charging-related trips per year imposes a time tax even if no City budget line records it.</w:t>
      </w:r>
    </w:p>
    <w:p>
      <w:r>
        <w:t>Cross-curb charging does not need to solve the entire charging-access problem to matter. Multifamily buildings, residents without adjacent frontage, and households with unsuitable sidewalks will still require public, workplace, multifamily, or fast charging. The relevant question is whether households for whom a safe residential connection is feasible should be required to consume shared public infrastructure and incur recurring access costs instead.</w:t>
      </w:r>
    </w:p>
    <w:p>
      <w:r>
        <w:t>The lock-in model adds a second reason for urgency. Vehicle purchase decisions are durable. If charging access changes EV choice at a replacement event, changing policy one year later does not automatically reverse the purchase. The cost of delay therefore extends beyond the delay period itself.</w:t>
      </w:r>
    </w:p>
    <w:p>
      <w:pPr>
        <w:pStyle w:val="Heading1"/>
      </w:pPr>
      <w:r>
        <w:t>7. Limitations and Data Needed</w:t>
      </w:r>
    </w:p>
    <w:p>
      <w:pPr>
        <w:pStyle w:val="ListBullet"/>
      </w:pPr>
      <w:r>
        <w:t>Addressable population: the 10%-20% range is a scenario assumption. A stronger estimate requires parcel-level housing, curb frontage, parking, and registered-vehicle GIS data.</w:t>
      </w:r>
    </w:p>
    <w:p>
      <w:pPr>
        <w:pStyle w:val="ListBullet"/>
      </w:pPr>
      <w:r>
        <w:t>Adoption effect: the 5/10/15 percentage-point scenarios are not Alexandria estimates. Existing studies establish direction and plausible magnitude but do not identify Alexandria's causal effect.</w:t>
      </w:r>
    </w:p>
    <w:p>
      <w:pPr>
        <w:pStyle w:val="ListBullet"/>
      </w:pPr>
      <w:r>
        <w:t>Vehicle holding period: 8.4 years is a national average for new-car ownership, not an Alexandria-specific estimate.</w:t>
      </w:r>
    </w:p>
    <w:p>
      <w:pPr>
        <w:pStyle w:val="ListBullet"/>
      </w:pPr>
      <w:r>
        <w:t>Public charging behavior: actual users will combine home, workplace, destination L2, and DC fast charging. The modeled L2 and DCFC cases are strategy endpoints, not descriptions of every household.</w:t>
      </w:r>
    </w:p>
    <w:p>
      <w:pPr>
        <w:pStyle w:val="ListBullet"/>
      </w:pPr>
      <w:r>
        <w:t>Value of time: no single number is uniquely correct. Results should always present raw hours and multiple transparent valuation methods.</w:t>
      </w:r>
    </w:p>
    <w:p>
      <w:pPr>
        <w:pStyle w:val="ListBullet"/>
      </w:pPr>
      <w:r>
        <w:t>Emissions: the carbon calculation is operational, not a full lifecycle inventory, and uses statewide average generation emissions rather than marginal hourly electricity emissions.</w:t>
      </w:r>
    </w:p>
    <w:p>
      <w:pPr>
        <w:pStyle w:val="ListBullet"/>
      </w:pPr>
      <w:r>
        <w:t>Vehicle price: the lock-in savings estimate intentionally excludes purchase price, financing, depreciation, insurance, and resale value so that the result isolates recurring operation.</w:t>
      </w:r>
    </w:p>
    <w:p>
      <w:pPr>
        <w:pStyle w:val="Heading1"/>
      </w:pPr>
      <w:r>
        <w:t>8. Recommended Reporting Framework</w:t>
      </w:r>
    </w:p>
    <w:p>
      <w:r>
        <w:t>For public communication and the accompanying web model, results should be presented in layers. First show direct cash cost and raw hours. Then show monetized time under user-selectable valuation assumptions. Finally show the vehicle-lock-in consequences under explicit addressable-population and adoption-effect scenarios. This structure makes the model auditable and prevents a disagreement over one assumption from obscuring the underlying burden.</w:t>
      </w:r>
    </w:p>
    <w:tbl>
      <w:tblPr>
        <w:tblStyle w:val="TableGrid"/>
        <w:tblW w:type="auto" w:w="0"/>
        <w:jc w:val="center"/>
        <w:tblLook w:firstColumn="1" w:firstRow="1" w:lastColumn="0" w:lastRow="0" w:noHBand="0" w:noVBand="1" w:val="04A0"/>
      </w:tblPr>
      <w:tblGrid>
        <w:gridCol w:w="5040"/>
        <w:gridCol w:w="5040"/>
      </w:tblGrid>
      <w:tr>
        <w:tc>
          <w:tcPr>
            <w:tcW w:type="dxa" w:w="5040"/>
            <w:vAlign w:val="center"/>
            <w:shd w:fill="D9EAF7"/>
          </w:tcPr>
          <w:p>
            <w:r/>
            <w:r>
              <w:rPr>
                <w:b/>
                <w:sz w:val="18"/>
              </w:rPr>
              <w:t>Layer</w:t>
            </w:r>
          </w:p>
        </w:tc>
        <w:tc>
          <w:tcPr>
            <w:tcW w:type="dxa" w:w="5040"/>
            <w:vAlign w:val="center"/>
            <w:shd w:fill="D9EAF7"/>
          </w:tcPr>
          <w:p>
            <w:r/>
            <w:r>
              <w:rPr>
                <w:b/>
                <w:sz w:val="18"/>
              </w:rPr>
              <w:t>Primary outputs</w:t>
            </w:r>
          </w:p>
        </w:tc>
      </w:tr>
      <w:tr>
        <w:tc>
          <w:tcPr>
            <w:tcW w:type="dxa" w:w="5040"/>
            <w:vAlign w:val="center"/>
          </w:tcPr>
          <w:p>
            <w:r/>
            <w:r>
              <w:rPr>
                <w:b w:val="0"/>
                <w:sz w:val="18"/>
              </w:rPr>
              <w:t>Charging-access burden</w:t>
            </w:r>
          </w:p>
        </w:tc>
        <w:tc>
          <w:tcPr>
            <w:tcW w:type="dxa" w:w="5040"/>
            <w:vAlign w:val="center"/>
          </w:tcPr>
          <w:p>
            <w:r/>
            <w:r>
              <w:rPr>
                <w:b w:val="0"/>
                <w:sz w:val="18"/>
              </w:rPr>
              <w:t>Extra electricity cost; charging-related hours; monetized time; total household burden</w:t>
            </w:r>
          </w:p>
        </w:tc>
      </w:tr>
      <w:tr>
        <w:tc>
          <w:tcPr>
            <w:tcW w:type="dxa" w:w="5040"/>
            <w:vAlign w:val="center"/>
          </w:tcPr>
          <w:p>
            <w:r/>
            <w:r>
              <w:rPr>
                <w:b w:val="0"/>
                <w:sz w:val="18"/>
              </w:rPr>
              <w:t>Citywide burden</w:t>
            </w:r>
          </w:p>
        </w:tc>
        <w:tc>
          <w:tcPr>
            <w:tcW w:type="dxa" w:w="5040"/>
            <w:vAlign w:val="center"/>
          </w:tcPr>
          <w:p>
            <w:r/>
            <w:r>
              <w:rPr>
                <w:b w:val="0"/>
                <w:sz w:val="18"/>
              </w:rPr>
              <w:t>Affected EV households; aggregate extra electricity cost; aggregate hours; aggregate value of time</w:t>
            </w:r>
          </w:p>
        </w:tc>
      </w:tr>
      <w:tr>
        <w:tc>
          <w:tcPr>
            <w:tcW w:type="dxa" w:w="5040"/>
            <w:vAlign w:val="center"/>
          </w:tcPr>
          <w:p>
            <w:r/>
            <w:r>
              <w:rPr>
                <w:b w:val="0"/>
                <w:sz w:val="18"/>
              </w:rPr>
              <w:t>Vehicle lock-in</w:t>
            </w:r>
          </w:p>
        </w:tc>
        <w:tc>
          <w:tcPr>
            <w:tcW w:type="dxa" w:w="5040"/>
            <w:vAlign w:val="center"/>
          </w:tcPr>
          <w:p>
            <w:r/>
            <w:r>
              <w:rPr>
                <w:b w:val="0"/>
                <w:sz w:val="18"/>
              </w:rPr>
              <w:t>Induced ICE purchases; committed vehicle-years; realized vehicle-years; foregone operating savings</w:t>
            </w:r>
          </w:p>
        </w:tc>
      </w:tr>
      <w:tr>
        <w:tc>
          <w:tcPr>
            <w:tcW w:type="dxa" w:w="5040"/>
            <w:vAlign w:val="center"/>
          </w:tcPr>
          <w:p>
            <w:r/>
            <w:r>
              <w:rPr>
                <w:b w:val="0"/>
                <w:sz w:val="18"/>
              </w:rPr>
              <w:t>Climate</w:t>
            </w:r>
          </w:p>
        </w:tc>
        <w:tc>
          <w:tcPr>
            <w:tcW w:type="dxa" w:w="5040"/>
            <w:vAlign w:val="center"/>
          </w:tcPr>
          <w:p>
            <w:r/>
            <w:r>
              <w:rPr>
                <w:b w:val="0"/>
                <w:sz w:val="18"/>
              </w:rPr>
              <w:t>Additional operational CO2; optional lifecycle benchmark shown separately</w:t>
            </w:r>
          </w:p>
        </w:tc>
      </w:tr>
      <w:tr>
        <w:tc>
          <w:tcPr>
            <w:tcW w:type="dxa" w:w="5040"/>
            <w:vAlign w:val="center"/>
          </w:tcPr>
          <w:p>
            <w:r/>
            <w:r>
              <w:rPr>
                <w:b w:val="0"/>
                <w:sz w:val="18"/>
              </w:rPr>
              <w:t>Sensitivity</w:t>
            </w:r>
          </w:p>
        </w:tc>
        <w:tc>
          <w:tcPr>
            <w:tcW w:type="dxa" w:w="5040"/>
            <w:vAlign w:val="center"/>
          </w:tcPr>
          <w:p>
            <w:r/>
            <w:r>
              <w:rPr>
                <w:b w:val="0"/>
                <w:sz w:val="18"/>
              </w:rPr>
              <w:t>Addressable share; EV penetration; adoption effect; holding period; miles; gas price; electricity prices; value of time</w:t>
            </w:r>
          </w:p>
        </w:tc>
      </w:tr>
    </w:tbl>
    <w:p/>
    <w:p>
      <w:pPr>
        <w:pStyle w:val="Heading1"/>
      </w:pPr>
      <w:r>
        <w:t>References</w:t>
      </w:r>
    </w:p>
    <w:p>
      <w:pPr/>
      <w:r>
        <w:t>National Renewable Energy Laboratory. Electric Mobility Opportunities for On-Road Vehicles. NREL/TP-5400-86690. Planning benchmark: 150 kW DC fast charging purchase and installation cost of approximately $150,000 per plug.</w:t>
      </w:r>
    </w:p>
    <w:p>
      <w:r>
        <w:rPr>
          <w:b/>
        </w:rPr>
        <w:t xml:space="preserve">1. </w:t>
      </w:r>
      <w:r>
        <w:t>City of Alexandria. Electric Vehicles in Alexandria. 2026. Curbside EV Charging Program and EV charging resources. https://www.alexandriava.gov/energy/electric-vehicles-in-alexandria</w:t>
      </w:r>
    </w:p>
    <w:p>
      <w:r>
        <w:rPr>
          <w:b/>
        </w:rPr>
        <w:t xml:space="preserve">2. </w:t>
      </w:r>
      <w:r>
        <w:t>City of Alexandria. Electric Vehicle Charging Infrastructure Readiness Strategy. 2024 posting of City strategy. https://www.alexandriava.gov/sites/default/files/2024-06/alexandria_evrs_final.pdf</w:t>
      </w:r>
    </w:p>
    <w:p>
      <w:r>
        <w:rPr>
          <w:b/>
        </w:rPr>
        <w:t xml:space="preserve">3. </w:t>
      </w:r>
      <w:r>
        <w:t>Alexandria EV Charging Strategy Alternatives: Revised Working Paper. August 2026. User-supplied analysis.</w:t>
      </w:r>
    </w:p>
    <w:p>
      <w:r>
        <w:rPr>
          <w:b/>
        </w:rPr>
        <w:t xml:space="preserve">4. </w:t>
      </w:r>
      <w:r>
        <w:t>Cost of Charging for Alexandria Residents Without Off-Street Parking. User-supplied scenario analysis.</w:t>
      </w:r>
    </w:p>
    <w:p>
      <w:r>
        <w:rPr>
          <w:b/>
        </w:rPr>
        <w:t xml:space="preserve">5. </w:t>
      </w:r>
      <w:r>
        <w:t>Alexandria ROW L2 Charging Break-Even Analysis. User-supplied working paper.</w:t>
      </w:r>
    </w:p>
    <w:p>
      <w:r>
        <w:rPr>
          <w:b/>
        </w:rPr>
        <w:t xml:space="preserve">6. </w:t>
      </w:r>
      <w:r>
        <w:t>U.S. Department of Transportation. Benefit-Cost Analysis Guidance for Discretionary Grant Programs, 2025 Update, Table A-2: Value of Travel Time Savings.</w:t>
      </w:r>
    </w:p>
    <w:p>
      <w:r>
        <w:rPr>
          <w:b/>
        </w:rPr>
        <w:t xml:space="preserve">7. </w:t>
      </w:r>
      <w:r>
        <w:t>U.S. Department of Transportation. Revised Departmental Guidance on Valuation of Travel Time in Economic Analysis.</w:t>
      </w:r>
    </w:p>
    <w:p>
      <w:r>
        <w:rPr>
          <w:b/>
        </w:rPr>
        <w:t xml:space="preserve">8. </w:t>
      </w:r>
      <w:r>
        <w:t>Barriers to electric vehicle home charging and impacts on adoption. Transportation Research Part D: Transport and Environment, Vol. 154 (May 2026), 105262.</w:t>
      </w:r>
    </w:p>
    <w:p>
      <w:r>
        <w:rPr>
          <w:b/>
        </w:rPr>
        <w:t xml:space="preserve">9. </w:t>
      </w:r>
      <w:r>
        <w:t>D'Amico, B., Fonzone, A., and Hart, E. The causal relation between off-street parking and electric vehicle adoption in Scotland. 2026 preprint.</w:t>
      </w:r>
    </w:p>
    <w:p>
      <w:r>
        <w:rPr>
          <w:b/>
        </w:rPr>
        <w:t xml:space="preserve">10. </w:t>
      </w:r>
      <w:r>
        <w:t>iSeeCars. How Long Do People Keep Their Cars? Average new-car ownership period: 8.4 years.</w:t>
      </w:r>
    </w:p>
    <w:p>
      <w:r>
        <w:rPr>
          <w:b/>
        </w:rPr>
        <w:t xml:space="preserve">11. </w:t>
      </w:r>
      <w:r>
        <w:t>AAA. Virginia average gas prices, Washington, DC (VA Only) metro average. September 3, 2026.</w:t>
      </w:r>
    </w:p>
    <w:p>
      <w:r>
        <w:rPr>
          <w:b/>
        </w:rPr>
        <w:t xml:space="preserve">12. </w:t>
      </w:r>
      <w:r>
        <w:t>National Renewable Energy Laboratory. Fleet Electrification Framework, NREL/TP-5400-89570. Consumer Reports maintenance benchmark: 6.1 cents/mile ICE and 3.1 cents/mile BEV.</w:t>
      </w:r>
    </w:p>
    <w:p>
      <w:r>
        <w:rPr>
          <w:b/>
        </w:rPr>
        <w:t xml:space="preserve">13. </w:t>
      </w:r>
      <w:r>
        <w:t>U.S. Environmental Protection Agency. Greenhouse Gas Emissions from a Typical Passenger Vehicle / Greenhouse Gas Equivalencies Calculator. 8,887 grams CO2 per gallon of gasoline.</w:t>
      </w:r>
    </w:p>
    <w:p>
      <w:r>
        <w:rPr>
          <w:b/>
        </w:rPr>
        <w:t xml:space="preserve">14. </w:t>
      </w:r>
      <w:r>
        <w:t>U.S. Energy Information Administration. Virginia Electricity Profile 2024. Carbon dioxide: 631 lb/MWh.</w:t>
      </w:r>
    </w:p>
    <w:p>
      <w:r>
        <w:rPr>
          <w:b/>
        </w:rPr>
        <w:t xml:space="preserve">15. </w:t>
      </w:r>
      <w:r>
        <w:t>U.S. Department of Energy. R&amp;D GREET Life Cycle Assessment Model. Representative 2025 EV: 46% lower lifecycle GHG emissions than comparable ICE vehicle.</w:t>
      </w:r>
    </w:p>
    <w:p>
      <w:pPr>
        <w:pStyle w:val="Heading1"/>
      </w:pPr>
      <w:r>
        <w:t>Appendix A. Core Equations</w:t>
      </w:r>
    </w:p>
    <w:p>
      <w:pPr>
        <w:pStyle w:val="ListBullet"/>
      </w:pPr>
      <w:r>
        <w:t>Annual EV electricity = annual miles x EV kWh/mile x electricity price.</w:t>
      </w:r>
    </w:p>
    <w:p>
      <w:pPr>
        <w:pStyle w:val="ListBullet"/>
      </w:pPr>
      <w:r>
        <w:t>Charging-access cash penalty = public-charging electricity cost - residential electricity cost.</w:t>
      </w:r>
    </w:p>
    <w:p>
      <w:pPr>
        <w:pStyle w:val="ListBullet"/>
      </w:pPr>
      <w:r>
        <w:t>Annual time burden = successful-session travel + nonproductive charging dwell + expected failed-attempt time.</w:t>
      </w:r>
    </w:p>
    <w:p>
      <w:pPr>
        <w:pStyle w:val="ListBullet"/>
      </w:pPr>
      <w:r>
        <w:t>Potentially addressable vehicles = personal-use vehicle fleet x cross-curb-addressable share.</w:t>
      </w:r>
    </w:p>
    <w:p>
      <w:pPr>
        <w:pStyle w:val="ListBullet"/>
      </w:pPr>
      <w:r>
        <w:t>Annual replacement decisions = potentially addressable vehicles / average holding period.</w:t>
      </w:r>
    </w:p>
    <w:p>
      <w:pPr>
        <w:pStyle w:val="ListBullet"/>
      </w:pPr>
      <w:r>
        <w:t>Induced ICE purchases per year = annual replacement decisions x charging-access adoption effect.</w:t>
      </w:r>
    </w:p>
    <w:p>
      <w:pPr>
        <w:pStyle w:val="ListBullet"/>
      </w:pPr>
      <w:r>
        <w:t>Committed ICE vehicle-years = induced ICE purchases x holding period.</w:t>
      </w:r>
    </w:p>
    <w:p>
      <w:pPr>
        <w:pStyle w:val="ListBullet"/>
      </w:pPr>
      <w:r>
        <w:t>Foregone operating savings = induced ICE purchases x holding period x annual miles x (ICE fuel + ICE maintenance - EV electricity - EV maintenance).</w:t>
      </w:r>
    </w:p>
    <w:p>
      <w:pPr>
        <w:pStyle w:val="ListBullet"/>
      </w:pPr>
      <w:r>
        <w:t>Operational CO2 difference = annual miles x [(8,887 g/gal / ICE mpg) - (Virginia grid g/kWh x EV kWh/mile)].</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The Cost of Waiting | Alexandria EV charging access working paper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4F81BD" w:themeColor="accent1"/>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ubtitle2">
    <w:name w:val="Subtitle2"/>
    <w:rPr>
      <w:rFonts w:ascii="Aptos" w:hAnsi="Aptos"/>
      <w: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