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 Balanced EV Charging Capacity Strategy for Alexandria</w:t>
      </w:r>
    </w:p>
    <w:p>
      <w:pPr>
        <w:pStyle w:val="Subtitle2"/>
        <w:jc w:val="center"/>
      </w:pPr>
      <w:r>
        <w:t>Why curbside Level 2 charging should be paired with DC fast charging and residential right-of-way access</w:t>
      </w:r>
    </w:p>
    <w:p>
      <w:pPr>
        <w:jc w:val="center"/>
      </w:pPr>
      <w:r>
        <w:rPr>
          <w:color w:val="5F5F5F"/>
          <w:sz w:val="18"/>
        </w:rPr>
        <w:t>Working policy analysis | August 2026</w:t>
      </w:r>
    </w:p>
    <w:tbl>
      <w:tblPr>
        <w:tblW w:type="auto" w:w="0"/>
        <w:jc w:val="center"/>
        <w:tblLook w:firstColumn="1" w:firstRow="1" w:lastColumn="0" w:lastRow="0" w:noHBand="0" w:noVBand="1" w:val="04A0"/>
      </w:tblPr>
      <w:tblGrid>
        <w:gridCol w:w="3485"/>
        <w:gridCol w:w="3485"/>
        <w:gridCol w:w="3485"/>
      </w:tblGrid>
      <w:tr>
        <w:tc>
          <w:tcPr>
            <w:tcW w:type="dxa" w:w="3485"/>
            <w:shd w:fill="EDF4EA"/>
            <w:tcMar>
              <w:top w:w="80" w:type="dxa"/>
              <w:start w:w="90" w:type="dxa"/>
              <w:bottom w:w="80" w:type="dxa"/>
              <w:end w:w="90" w:type="dxa"/>
            </w:tcMar>
          </w:tcPr>
          <w:p>
            <w:r>
              <w:rPr>
                <w:rFonts w:ascii="Aptos" w:hAnsi="Aptos"/>
                <w:sz w:val="19"/>
              </w:rPr>
              <w:t>Alexandria gasoline network</w:t>
            </w:r>
          </w:p>
        </w:tc>
        <w:tc>
          <w:tcPr>
            <w:tcW w:type="dxa" w:w="3485"/>
            <w:shd w:fill="EDF4EA"/>
            <w:tcMar>
              <w:top w:w="80" w:type="dxa"/>
              <w:start w:w="90" w:type="dxa"/>
              <w:bottom w:w="80" w:type="dxa"/>
              <w:end w:w="90" w:type="dxa"/>
            </w:tcMar>
          </w:tcPr>
          <w:p>
            <w:r>
              <w:rPr>
                <w:rFonts w:ascii="Aptos" w:hAnsi="Aptos"/>
                <w:b/>
                <w:sz w:val="23"/>
              </w:rPr>
              <w:t>32 stations</w:t>
            </w:r>
          </w:p>
        </w:tc>
        <w:tc>
          <w:tcPr>
            <w:tcW w:type="dxa" w:w="3485"/>
            <w:shd w:fill="EDF4EA"/>
            <w:tcMar>
              <w:top w:w="80" w:type="dxa"/>
              <w:start w:w="90" w:type="dxa"/>
              <w:bottom w:w="80" w:type="dxa"/>
              <w:end w:w="90" w:type="dxa"/>
            </w:tcMar>
          </w:tcPr>
          <w:p>
            <w:r>
              <w:rPr>
                <w:rFonts w:ascii="Aptos" w:hAnsi="Aptos"/>
                <w:sz w:val="19"/>
              </w:rPr>
              <w:t>~314 fueling positions using the national 9.8-position average</w:t>
            </w:r>
          </w:p>
        </w:tc>
      </w:tr>
      <w:tr>
        <w:tc>
          <w:tcPr>
            <w:tcW w:type="dxa" w:w="3485"/>
            <w:shd w:fill="EDF4EA"/>
            <w:tcMar>
              <w:top w:w="80" w:type="dxa"/>
              <w:start w:w="90" w:type="dxa"/>
              <w:bottom w:w="80" w:type="dxa"/>
              <w:end w:w="90" w:type="dxa"/>
            </w:tcMar>
          </w:tcPr>
          <w:p>
            <w:r>
              <w:rPr>
                <w:rFonts w:ascii="Aptos" w:hAnsi="Aptos"/>
                <w:sz w:val="19"/>
              </w:rPr>
              <w:t>Current DC fast inventory assumption</w:t>
            </w:r>
          </w:p>
        </w:tc>
        <w:tc>
          <w:tcPr>
            <w:tcW w:type="dxa" w:w="3485"/>
            <w:shd w:fill="EDF4EA"/>
            <w:tcMar>
              <w:top w:w="80" w:type="dxa"/>
              <w:start w:w="90" w:type="dxa"/>
              <w:bottom w:w="80" w:type="dxa"/>
              <w:end w:w="90" w:type="dxa"/>
            </w:tcMar>
          </w:tcPr>
          <w:p>
            <w:r>
              <w:rPr>
                <w:rFonts w:ascii="Aptos" w:hAnsi="Aptos"/>
                <w:b/>
                <w:sz w:val="23"/>
              </w:rPr>
              <w:t>2 sites / 8 ports</w:t>
            </w:r>
          </w:p>
        </w:tc>
        <w:tc>
          <w:tcPr>
            <w:tcW w:type="dxa" w:w="3485"/>
            <w:shd w:fill="EDF4EA"/>
            <w:tcMar>
              <w:top w:w="80" w:type="dxa"/>
              <w:start w:w="90" w:type="dxa"/>
              <w:bottom w:w="80" w:type="dxa"/>
              <w:end w:w="90" w:type="dxa"/>
            </w:tcMar>
          </w:tcPr>
          <w:p>
            <w:r>
              <w:rPr>
                <w:rFonts w:ascii="Aptos" w:hAnsi="Aptos"/>
                <w:sz w:val="19"/>
              </w:rPr>
              <w:t>Four ports at each of two sites, as used in this analysis</w:t>
            </w:r>
          </w:p>
        </w:tc>
      </w:tr>
      <w:tr>
        <w:tc>
          <w:tcPr>
            <w:tcW w:type="dxa" w:w="3485"/>
            <w:shd w:fill="EDF4EA"/>
            <w:tcMar>
              <w:top w:w="80" w:type="dxa"/>
              <w:start w:w="90" w:type="dxa"/>
              <w:bottom w:w="80" w:type="dxa"/>
              <w:end w:w="90" w:type="dxa"/>
            </w:tcMar>
          </w:tcPr>
          <w:p>
            <w:r>
              <w:rPr>
                <w:rFonts w:ascii="Aptos" w:hAnsi="Aptos"/>
                <w:sz w:val="19"/>
              </w:rPr>
              <w:t>Initial curbside L2 program</w:t>
            </w:r>
          </w:p>
        </w:tc>
        <w:tc>
          <w:tcPr>
            <w:tcW w:type="dxa" w:w="3485"/>
            <w:shd w:fill="EDF4EA"/>
            <w:tcMar>
              <w:top w:w="80" w:type="dxa"/>
              <w:start w:w="90" w:type="dxa"/>
              <w:bottom w:w="80" w:type="dxa"/>
              <w:end w:w="90" w:type="dxa"/>
            </w:tcMar>
          </w:tcPr>
          <w:p>
            <w:r>
              <w:rPr>
                <w:rFonts w:ascii="Aptos" w:hAnsi="Aptos"/>
                <w:b/>
                <w:sz w:val="23"/>
              </w:rPr>
              <w:t>Up to 60 ports</w:t>
            </w:r>
          </w:p>
        </w:tc>
        <w:tc>
          <w:tcPr>
            <w:tcW w:type="dxa" w:w="3485"/>
            <w:shd w:fill="EDF4EA"/>
            <w:tcMar>
              <w:top w:w="80" w:type="dxa"/>
              <w:start w:w="90" w:type="dxa"/>
              <w:bottom w:w="80" w:type="dxa"/>
              <w:end w:w="90" w:type="dxa"/>
            </w:tcMar>
          </w:tcPr>
          <w:p>
            <w:r>
              <w:rPr>
                <w:rFonts w:ascii="Aptos" w:hAnsi="Aptos"/>
                <w:sz w:val="19"/>
              </w:rPr>
              <w:t>City cap during the first two years</w:t>
            </w:r>
          </w:p>
        </w:tc>
      </w:tr>
    </w:tbl>
    <w:p>
      <w:pPr>
        <w:pStyle w:val="Heading1"/>
      </w:pPr>
      <w:r>
        <w:t>Executive summary</w:t>
      </w:r>
    </w:p>
    <w:p>
      <w:r>
        <w:rPr>
          <w:b/>
        </w:rPr>
        <w:t xml:space="preserve">Alexandria should not treat public curbside Level 2 charging as the primary substitute for residential charging access. </w:t>
      </w:r>
      <w:r>
        <w:t>Level 2 is well suited to vehicles that will already be parked for hours, but it is a low-throughput shared resource. A balanced citywide charging strategy should combine (1) curbside and destination Level 2 charging, (2) substantially more DC fast charging, and (3) safe pathways for residents without off-street parking to charge from their own electrical service across the sidewalk or otherwise through the public right-of-way.</w:t>
      </w:r>
    </w:p>
    <w:p>
      <w:r>
        <w:t>This is consistent with the City's own charging strategy and national modeling. Alexandria's Electric Vehicle Charging Infrastructure Readiness Strategy expressly distinguishes residential/workplace charging from both public Level 2 and public DC fast charging. In its strongest-policy scenario, the strategy projected as many as 100 publicly accessible chargers by 2030 and more than 800 by 2050. National Renewable Energy Laboratory modeling likewise expects a mixed system: 64% of charging energy at single-family homes, 8% at public Level 2 locations, and 20% at public DC fast chargers by 2030.</w:t>
      </w:r>
    </w:p>
    <w:p>
      <w:r>
        <w:rPr>
          <w:b/>
        </w:rPr>
        <w:t xml:space="preserve">The capacity issue is substantial. </w:t>
      </w:r>
      <w:r>
        <w:t>Using 32 gasoline stations as a working Alexandria inventory and the national average of 9.8 fueling positions per fuel-selling convenience store, the city has an estimated 314 gasoline fueling positions. NACS reports that the average fuel-selling convenience store handles 322 fueling transactions per day, implying roughly 10,300 gasoline transactions per day across 32 average-sized sites. This is not a forecast of future EV charging demand, but it provides a useful scale comparison for shared fueling infrastructure.</w:t>
      </w:r>
    </w:p>
    <w:p>
      <w:pPr>
        <w:pStyle w:val="Heading1"/>
      </w:pPr>
      <w:r>
        <w:t>1. The intended role of curbside Level 2 charging</w:t>
      </w:r>
    </w:p>
    <w:p>
      <w:r>
        <w:t>Alexandria's curbside program is explicitly aimed at residents without a dedicated driveway or garage and residents of multifamily communities who cannot easily charge where they live. The City initially allows up to 60 curbside chargers, after which it plans to pause approvals and evaluate performance.</w:t>
      </w:r>
    </w:p>
    <w:p>
      <w:r>
        <w:t>That is an important access program, but the problem it is trying to solve is fundamentally a home-charging problem. The City itself has cited Electric Power Research Institute research indicating that roughly 75% of EV charging occurs at home. Alexandria has also created Plug In Alexandria to help multifamily communities install shared charging so residents can charge where their vehicles are already parked.</w:t>
      </w:r>
    </w:p>
    <w:p>
      <w:r>
        <w:rPr>
          <w:b/>
        </w:rPr>
        <w:t xml:space="preserve">The central planning question is therefore not whether Alexandria needs public Level 2 charging. It does. </w:t>
      </w:r>
      <w:r>
        <w:t>The question is whether a public-L2-centered strategy can provide adequate capacity for households that lack private charging if the City does not also expand fast charging and enable additional forms of residential charging.</w:t>
      </w:r>
    </w:p>
    <w:p>
      <w:pPr>
        <w:pStyle w:val="Heading1"/>
      </w:pPr>
      <w:r>
        <w:t>2. Shared-infrastructure throughput</w:t>
      </w:r>
    </w:p>
    <w:p>
      <w:r>
        <w:t>Charging technologies serve different use cases because their dwell times differ dramatically. This paper uses a three-hour Level 2 session, consistent with the companion residential charging analysis. DOE data for paid DC fast charging show an observed average session duration of 42 minutes. On a simple turnover basis, one DC fast charging port can therefore serve about 4.3 times as many vehicles as a three-hour Level 2 port at the same occupancy rate.</w:t>
      </w:r>
    </w:p>
    <w:tbl>
      <w:tblPr>
        <w:tblStyle w:val="TableGrid"/>
        <w:tblW w:type="auto" w:w="0"/>
        <w:jc w:val="center"/>
        <w:tblLook w:firstColumn="1" w:firstRow="1" w:lastColumn="0" w:lastRow="0" w:noHBand="0" w:noVBand="1" w:val="04A0"/>
      </w:tblPr>
      <w:tblGrid>
        <w:gridCol w:w="2091"/>
        <w:gridCol w:w="2091"/>
        <w:gridCol w:w="2091"/>
        <w:gridCol w:w="2091"/>
        <w:gridCol w:w="2091"/>
      </w:tblGrid>
      <w:tr>
        <w:tc>
          <w:tcPr>
            <w:tcW w:type="dxa" w:w="2091"/>
            <w:vAlign w:val="center"/>
            <w:tcMar>
              <w:top w:w="55" w:type="dxa"/>
              <w:start w:w="75" w:type="dxa"/>
              <w:bottom w:w="55" w:type="dxa"/>
              <w:end w:w="75" w:type="dxa"/>
            </w:tcMar>
            <w:shd w:fill="DCE6F1"/>
          </w:tcPr>
          <w:p>
            <w:pPr>
              <w:spacing w:after="0" w:before="0"/>
            </w:pPr>
            <w:r>
              <w:rPr>
                <w:rFonts w:ascii="Aptos" w:hAnsi="Aptos"/>
                <w:b/>
                <w:sz w:val="17"/>
              </w:rPr>
              <w:t>Infrastructure</w:t>
            </w:r>
          </w:p>
        </w:tc>
        <w:tc>
          <w:tcPr>
            <w:tcW w:type="dxa" w:w="2091"/>
            <w:vAlign w:val="center"/>
            <w:tcMar>
              <w:top w:w="55" w:type="dxa"/>
              <w:start w:w="75" w:type="dxa"/>
              <w:bottom w:w="55" w:type="dxa"/>
              <w:end w:w="75" w:type="dxa"/>
            </w:tcMar>
            <w:shd w:fill="DCE6F1"/>
          </w:tcPr>
          <w:p>
            <w:pPr>
              <w:spacing w:after="0" w:before="0"/>
            </w:pPr>
            <w:r>
              <w:rPr>
                <w:rFonts w:ascii="Aptos" w:hAnsi="Aptos"/>
                <w:b/>
                <w:sz w:val="17"/>
              </w:rPr>
              <w:t>Assumed dwell</w:t>
            </w:r>
          </w:p>
        </w:tc>
        <w:tc>
          <w:tcPr>
            <w:tcW w:type="dxa" w:w="2091"/>
            <w:vAlign w:val="center"/>
            <w:tcMar>
              <w:top w:w="55" w:type="dxa"/>
              <w:start w:w="75" w:type="dxa"/>
              <w:bottom w:w="55" w:type="dxa"/>
              <w:end w:w="75" w:type="dxa"/>
            </w:tcMar>
            <w:shd w:fill="DCE6F1"/>
          </w:tcPr>
          <w:p>
            <w:pPr>
              <w:spacing w:after="0" w:before="0"/>
            </w:pPr>
            <w:r>
              <w:rPr>
                <w:rFonts w:ascii="Aptos" w:hAnsi="Aptos"/>
                <w:b/>
                <w:sz w:val="17"/>
              </w:rPr>
              <w:t>Sessions/day at 30% utilization</w:t>
            </w:r>
          </w:p>
        </w:tc>
        <w:tc>
          <w:tcPr>
            <w:tcW w:type="dxa" w:w="2091"/>
            <w:vAlign w:val="center"/>
            <w:tcMar>
              <w:top w:w="55" w:type="dxa"/>
              <w:start w:w="75" w:type="dxa"/>
              <w:bottom w:w="55" w:type="dxa"/>
              <w:end w:w="75" w:type="dxa"/>
            </w:tcMar>
            <w:shd w:fill="DCE6F1"/>
          </w:tcPr>
          <w:p>
            <w:pPr>
              <w:spacing w:after="0" w:before="0"/>
            </w:pPr>
            <w:r>
              <w:rPr>
                <w:rFonts w:ascii="Aptos" w:hAnsi="Aptos"/>
                <w:b/>
                <w:sz w:val="17"/>
              </w:rPr>
              <w:t>Relative turnover</w:t>
            </w:r>
          </w:p>
        </w:tc>
        <w:tc>
          <w:tcPr>
            <w:tcW w:type="dxa" w:w="2091"/>
            <w:vAlign w:val="center"/>
            <w:tcMar>
              <w:top w:w="55" w:type="dxa"/>
              <w:start w:w="75" w:type="dxa"/>
              <w:bottom w:w="55" w:type="dxa"/>
              <w:end w:w="75" w:type="dxa"/>
            </w:tcMar>
            <w:shd w:fill="DCE6F1"/>
          </w:tcPr>
          <w:p>
            <w:pPr>
              <w:spacing w:after="0" w:before="0"/>
            </w:pPr>
            <w:r>
              <w:rPr>
                <w:rFonts w:ascii="Aptos" w:hAnsi="Aptos"/>
                <w:b/>
                <w:sz w:val="17"/>
              </w:rPr>
              <w:t>Illustrative role</w:t>
            </w:r>
          </w:p>
        </w:tc>
      </w:tr>
      <w:tr>
        <w:tc>
          <w:tcPr>
            <w:tcW w:type="dxa" w:w="2091"/>
            <w:vAlign w:val="center"/>
            <w:tcMar>
              <w:top w:w="55" w:type="dxa"/>
              <w:start w:w="75" w:type="dxa"/>
              <w:bottom w:w="55" w:type="dxa"/>
              <w:end w:w="75" w:type="dxa"/>
            </w:tcMar>
          </w:tcPr>
          <w:p>
            <w:pPr>
              <w:spacing w:after="0" w:before="0"/>
            </w:pPr>
            <w:r>
              <w:rPr>
                <w:rFonts w:ascii="Aptos" w:hAnsi="Aptos"/>
                <w:sz w:val="17"/>
              </w:rPr>
              <w:t>Curbside L2</w:t>
            </w:r>
          </w:p>
        </w:tc>
        <w:tc>
          <w:tcPr>
            <w:tcW w:type="dxa" w:w="2091"/>
            <w:vAlign w:val="center"/>
            <w:tcMar>
              <w:top w:w="55" w:type="dxa"/>
              <w:start w:w="75" w:type="dxa"/>
              <w:bottom w:w="55" w:type="dxa"/>
              <w:end w:w="75" w:type="dxa"/>
            </w:tcMar>
          </w:tcPr>
          <w:p>
            <w:pPr>
              <w:spacing w:after="0" w:before="0"/>
            </w:pPr>
            <w:r>
              <w:rPr>
                <w:rFonts w:ascii="Aptos" w:hAnsi="Aptos"/>
                <w:sz w:val="17"/>
              </w:rPr>
              <w:t>180 min</w:t>
            </w:r>
          </w:p>
        </w:tc>
        <w:tc>
          <w:tcPr>
            <w:tcW w:type="dxa" w:w="2091"/>
            <w:vAlign w:val="center"/>
            <w:tcMar>
              <w:top w:w="55" w:type="dxa"/>
              <w:start w:w="75" w:type="dxa"/>
              <w:bottom w:w="55" w:type="dxa"/>
              <w:end w:w="75" w:type="dxa"/>
            </w:tcMar>
          </w:tcPr>
          <w:p>
            <w:pPr>
              <w:spacing w:after="0" w:before="0"/>
            </w:pPr>
            <w:r>
              <w:rPr>
                <w:rFonts w:ascii="Aptos" w:hAnsi="Aptos"/>
                <w:sz w:val="17"/>
              </w:rPr>
              <w:t>2.4</w:t>
            </w:r>
          </w:p>
        </w:tc>
        <w:tc>
          <w:tcPr>
            <w:tcW w:type="dxa" w:w="2091"/>
            <w:vAlign w:val="center"/>
            <w:tcMar>
              <w:top w:w="55" w:type="dxa"/>
              <w:start w:w="75" w:type="dxa"/>
              <w:bottom w:w="55" w:type="dxa"/>
              <w:end w:w="75" w:type="dxa"/>
            </w:tcMar>
          </w:tcPr>
          <w:p>
            <w:pPr>
              <w:spacing w:after="0" w:before="0"/>
            </w:pPr>
            <w:r>
              <w:rPr>
                <w:rFonts w:ascii="Aptos" w:hAnsi="Aptos"/>
                <w:sz w:val="17"/>
              </w:rPr>
              <w:t>1.0x</w:t>
            </w:r>
          </w:p>
        </w:tc>
        <w:tc>
          <w:tcPr>
            <w:tcW w:type="dxa" w:w="2091"/>
            <w:vAlign w:val="center"/>
            <w:tcMar>
              <w:top w:w="55" w:type="dxa"/>
              <w:start w:w="75" w:type="dxa"/>
              <w:bottom w:w="55" w:type="dxa"/>
              <w:end w:w="75" w:type="dxa"/>
            </w:tcMar>
          </w:tcPr>
          <w:p>
            <w:pPr>
              <w:spacing w:after="0" w:before="0"/>
            </w:pPr>
            <w:r>
              <w:rPr>
                <w:rFonts w:ascii="Aptos" w:hAnsi="Aptos"/>
                <w:sz w:val="17"/>
              </w:rPr>
              <w:t>Overnight / long-dwell neighborhood charging</w:t>
            </w:r>
          </w:p>
        </w:tc>
      </w:tr>
      <w:tr>
        <w:tc>
          <w:tcPr>
            <w:tcW w:type="dxa" w:w="2091"/>
            <w:vAlign w:val="center"/>
            <w:tcMar>
              <w:top w:w="55" w:type="dxa"/>
              <w:start w:w="75" w:type="dxa"/>
              <w:bottom w:w="55" w:type="dxa"/>
              <w:end w:w="75" w:type="dxa"/>
            </w:tcMar>
          </w:tcPr>
          <w:p>
            <w:pPr>
              <w:spacing w:after="0" w:before="0"/>
            </w:pPr>
            <w:r>
              <w:rPr>
                <w:rFonts w:ascii="Aptos" w:hAnsi="Aptos"/>
                <w:sz w:val="17"/>
              </w:rPr>
              <w:t>DC fast</w:t>
            </w:r>
          </w:p>
        </w:tc>
        <w:tc>
          <w:tcPr>
            <w:tcW w:type="dxa" w:w="2091"/>
            <w:vAlign w:val="center"/>
            <w:tcMar>
              <w:top w:w="55" w:type="dxa"/>
              <w:start w:w="75" w:type="dxa"/>
              <w:bottom w:w="55" w:type="dxa"/>
              <w:end w:w="75" w:type="dxa"/>
            </w:tcMar>
          </w:tcPr>
          <w:p>
            <w:pPr>
              <w:spacing w:after="0" w:before="0"/>
            </w:pPr>
            <w:r>
              <w:rPr>
                <w:rFonts w:ascii="Aptos" w:hAnsi="Aptos"/>
                <w:sz w:val="17"/>
              </w:rPr>
              <w:t>42 min</w:t>
            </w:r>
          </w:p>
        </w:tc>
        <w:tc>
          <w:tcPr>
            <w:tcW w:type="dxa" w:w="2091"/>
            <w:vAlign w:val="center"/>
            <w:tcMar>
              <w:top w:w="55" w:type="dxa"/>
              <w:start w:w="75" w:type="dxa"/>
              <w:bottom w:w="55" w:type="dxa"/>
              <w:end w:w="75" w:type="dxa"/>
            </w:tcMar>
          </w:tcPr>
          <w:p>
            <w:pPr>
              <w:spacing w:after="0" w:before="0"/>
            </w:pPr>
            <w:r>
              <w:rPr>
                <w:rFonts w:ascii="Aptos" w:hAnsi="Aptos"/>
                <w:sz w:val="17"/>
              </w:rPr>
              <w:t>10.3</w:t>
            </w:r>
          </w:p>
        </w:tc>
        <w:tc>
          <w:tcPr>
            <w:tcW w:type="dxa" w:w="2091"/>
            <w:vAlign w:val="center"/>
            <w:tcMar>
              <w:top w:w="55" w:type="dxa"/>
              <w:start w:w="75" w:type="dxa"/>
              <w:bottom w:w="55" w:type="dxa"/>
              <w:end w:w="75" w:type="dxa"/>
            </w:tcMar>
          </w:tcPr>
          <w:p>
            <w:pPr>
              <w:spacing w:after="0" w:before="0"/>
            </w:pPr>
            <w:r>
              <w:rPr>
                <w:rFonts w:ascii="Aptos" w:hAnsi="Aptos"/>
                <w:sz w:val="17"/>
              </w:rPr>
              <w:t>4.3x</w:t>
            </w:r>
          </w:p>
        </w:tc>
        <w:tc>
          <w:tcPr>
            <w:tcW w:type="dxa" w:w="2091"/>
            <w:vAlign w:val="center"/>
            <w:tcMar>
              <w:top w:w="55" w:type="dxa"/>
              <w:start w:w="75" w:type="dxa"/>
              <w:bottom w:w="55" w:type="dxa"/>
              <w:end w:w="75" w:type="dxa"/>
            </w:tcMar>
          </w:tcPr>
          <w:p>
            <w:pPr>
              <w:spacing w:after="0" w:before="0"/>
            </w:pPr>
            <w:r>
              <w:rPr>
                <w:rFonts w:ascii="Aptos" w:hAnsi="Aptos"/>
                <w:sz w:val="17"/>
              </w:rPr>
              <w:t>High-throughput shared charging</w:t>
            </w:r>
          </w:p>
        </w:tc>
      </w:tr>
    </w:tbl>
    <w:p>
      <w:r>
        <w:t>At 30% utilization, 60 Level 2 ports provide capacity for roughly 144 three-hour sessions per day. Eight DC fast ports provide roughly 82 42-minute sessions per day. In turnover terms alone, the City's current eight-port DC fast inventory is equivalent to about 34 three-hour Level 2 ports. A new four-port fast-charging site would add the vehicle-turnover capacity of roughly 17 L2 ports.</w:t>
      </w:r>
    </w:p>
    <w:p>
      <w:pPr>
        <w:pStyle w:val="Heading1"/>
      </w:pPr>
      <w:r>
        <w:t>3. A scale comparison with Alexandria's gasoline network</w:t>
      </w:r>
    </w:p>
    <w:p>
      <w:r>
        <w:t>Gasoline infrastructure is not a direct proxy for future EV infrastructure because most EV energy should be delivered while vehicles are already parked at homes, workplaces, and destinations. Nevertheless, gasoline throughput provides a useful benchmark for the scale of shared fueling demand that must be displaced as the fleet electrifies.</w:t>
      </w:r>
    </w:p>
    <w:tbl>
      <w:tblPr>
        <w:tblStyle w:val="TableGrid"/>
        <w:tblW w:type="auto" w:w="0"/>
        <w:jc w:val="center"/>
        <w:tblLook w:firstColumn="1" w:firstRow="1" w:lastColumn="0" w:lastRow="0" w:noHBand="0" w:noVBand="1" w:val="04A0"/>
      </w:tblPr>
      <w:tblGrid>
        <w:gridCol w:w="2613"/>
        <w:gridCol w:w="2613"/>
        <w:gridCol w:w="2613"/>
        <w:gridCol w:w="2613"/>
      </w:tblGrid>
      <w:tr>
        <w:tc>
          <w:tcPr>
            <w:tcW w:type="dxa" w:w="2613"/>
            <w:vAlign w:val="center"/>
            <w:tcMar>
              <w:top w:w="55" w:type="dxa"/>
              <w:start w:w="75" w:type="dxa"/>
              <w:bottom w:w="55" w:type="dxa"/>
              <w:end w:w="75" w:type="dxa"/>
            </w:tcMar>
            <w:shd w:fill="DCE6F1"/>
          </w:tcPr>
          <w:p>
            <w:pPr>
              <w:spacing w:after="0" w:before="0"/>
            </w:pPr>
            <w:r>
              <w:rPr>
                <w:rFonts w:ascii="Aptos" w:hAnsi="Aptos"/>
                <w:b/>
                <w:sz w:val="17"/>
              </w:rPr>
              <w:t>Metric</w:t>
            </w:r>
          </w:p>
        </w:tc>
        <w:tc>
          <w:tcPr>
            <w:tcW w:type="dxa" w:w="2613"/>
            <w:vAlign w:val="center"/>
            <w:tcMar>
              <w:top w:w="55" w:type="dxa"/>
              <w:start w:w="75" w:type="dxa"/>
              <w:bottom w:w="55" w:type="dxa"/>
              <w:end w:w="75" w:type="dxa"/>
            </w:tcMar>
            <w:shd w:fill="DCE6F1"/>
          </w:tcPr>
          <w:p>
            <w:pPr>
              <w:spacing w:after="0" w:before="0"/>
            </w:pPr>
            <w:r>
              <w:rPr>
                <w:rFonts w:ascii="Aptos" w:hAnsi="Aptos"/>
                <w:b/>
                <w:sz w:val="17"/>
              </w:rPr>
              <w:t>Working value</w:t>
            </w:r>
          </w:p>
        </w:tc>
        <w:tc>
          <w:tcPr>
            <w:tcW w:type="dxa" w:w="2613"/>
            <w:vAlign w:val="center"/>
            <w:tcMar>
              <w:top w:w="55" w:type="dxa"/>
              <w:start w:w="75" w:type="dxa"/>
              <w:bottom w:w="55" w:type="dxa"/>
              <w:end w:w="75" w:type="dxa"/>
            </w:tcMar>
            <w:shd w:fill="DCE6F1"/>
          </w:tcPr>
          <w:p>
            <w:pPr>
              <w:spacing w:after="0" w:before="0"/>
            </w:pPr>
            <w:r>
              <w:rPr>
                <w:rFonts w:ascii="Aptos" w:hAnsi="Aptos"/>
                <w:b/>
                <w:sz w:val="17"/>
              </w:rPr>
              <w:t>Calculation</w:t>
            </w:r>
          </w:p>
        </w:tc>
        <w:tc>
          <w:tcPr>
            <w:tcW w:type="dxa" w:w="2613"/>
            <w:vAlign w:val="center"/>
            <w:tcMar>
              <w:top w:w="55" w:type="dxa"/>
              <w:start w:w="75" w:type="dxa"/>
              <w:bottom w:w="55" w:type="dxa"/>
              <w:end w:w="75" w:type="dxa"/>
            </w:tcMar>
            <w:shd w:fill="DCE6F1"/>
          </w:tcPr>
          <w:p>
            <w:pPr>
              <w:spacing w:after="0" w:before="0"/>
            </w:pPr>
            <w:r>
              <w:rPr>
                <w:rFonts w:ascii="Aptos" w:hAnsi="Aptos"/>
                <w:b/>
                <w:sz w:val="17"/>
              </w:rPr>
              <w:t>Purpose</w:t>
            </w:r>
          </w:p>
        </w:tc>
      </w:tr>
      <w:tr>
        <w:tc>
          <w:tcPr>
            <w:tcW w:type="dxa" w:w="2613"/>
            <w:vAlign w:val="center"/>
            <w:tcMar>
              <w:top w:w="55" w:type="dxa"/>
              <w:start w:w="75" w:type="dxa"/>
              <w:bottom w:w="55" w:type="dxa"/>
              <w:end w:w="75" w:type="dxa"/>
            </w:tcMar>
          </w:tcPr>
          <w:p>
            <w:pPr>
              <w:spacing w:after="0" w:before="0"/>
            </w:pPr>
            <w:r>
              <w:rPr>
                <w:rFonts w:ascii="Aptos" w:hAnsi="Aptos"/>
                <w:sz w:val="17"/>
              </w:rPr>
              <w:t>Gasoline stations</w:t>
            </w:r>
          </w:p>
        </w:tc>
        <w:tc>
          <w:tcPr>
            <w:tcW w:type="dxa" w:w="2613"/>
            <w:vAlign w:val="center"/>
            <w:tcMar>
              <w:top w:w="55" w:type="dxa"/>
              <w:start w:w="75" w:type="dxa"/>
              <w:bottom w:w="55" w:type="dxa"/>
              <w:end w:w="75" w:type="dxa"/>
            </w:tcMar>
          </w:tcPr>
          <w:p>
            <w:pPr>
              <w:spacing w:after="0" w:before="0"/>
            </w:pPr>
            <w:r>
              <w:rPr>
                <w:rFonts w:ascii="Aptos" w:hAnsi="Aptos"/>
                <w:sz w:val="17"/>
              </w:rPr>
              <w:t>32</w:t>
            </w:r>
          </w:p>
        </w:tc>
        <w:tc>
          <w:tcPr>
            <w:tcW w:type="dxa" w:w="2613"/>
            <w:vAlign w:val="center"/>
            <w:tcMar>
              <w:top w:w="55" w:type="dxa"/>
              <w:start w:w="75" w:type="dxa"/>
              <w:bottom w:w="55" w:type="dxa"/>
              <w:end w:w="75" w:type="dxa"/>
            </w:tcMar>
          </w:tcPr>
          <w:p>
            <w:pPr>
              <w:spacing w:after="0" w:before="0"/>
            </w:pPr>
            <w:r>
              <w:rPr>
                <w:rFonts w:ascii="Aptos" w:hAnsi="Aptos"/>
                <w:sz w:val="17"/>
              </w:rPr>
              <w:t>Working Alexandria inventory</w:t>
            </w:r>
          </w:p>
        </w:tc>
        <w:tc>
          <w:tcPr>
            <w:tcW w:type="dxa" w:w="2613"/>
            <w:vAlign w:val="center"/>
            <w:tcMar>
              <w:top w:w="55" w:type="dxa"/>
              <w:start w:w="75" w:type="dxa"/>
              <w:bottom w:w="55" w:type="dxa"/>
              <w:end w:w="75" w:type="dxa"/>
            </w:tcMar>
          </w:tcPr>
          <w:p>
            <w:pPr>
              <w:spacing w:after="0" w:before="0"/>
            </w:pPr>
            <w:r>
              <w:rPr>
                <w:rFonts w:ascii="Aptos" w:hAnsi="Aptos"/>
                <w:sz w:val="17"/>
              </w:rPr>
              <w:t>Geographic fueling network</w:t>
            </w:r>
          </w:p>
        </w:tc>
      </w:tr>
      <w:tr>
        <w:tc>
          <w:tcPr>
            <w:tcW w:type="dxa" w:w="2613"/>
            <w:vAlign w:val="center"/>
            <w:tcMar>
              <w:top w:w="55" w:type="dxa"/>
              <w:start w:w="75" w:type="dxa"/>
              <w:bottom w:w="55" w:type="dxa"/>
              <w:end w:w="75" w:type="dxa"/>
            </w:tcMar>
          </w:tcPr>
          <w:p>
            <w:pPr>
              <w:spacing w:after="0" w:before="0"/>
            </w:pPr>
            <w:r>
              <w:rPr>
                <w:rFonts w:ascii="Aptos" w:hAnsi="Aptos"/>
                <w:sz w:val="17"/>
              </w:rPr>
              <w:t>Estimated fueling positions</w:t>
            </w:r>
          </w:p>
        </w:tc>
        <w:tc>
          <w:tcPr>
            <w:tcW w:type="dxa" w:w="2613"/>
            <w:vAlign w:val="center"/>
            <w:tcMar>
              <w:top w:w="55" w:type="dxa"/>
              <w:start w:w="75" w:type="dxa"/>
              <w:bottom w:w="55" w:type="dxa"/>
              <w:end w:w="75" w:type="dxa"/>
            </w:tcMar>
          </w:tcPr>
          <w:p>
            <w:pPr>
              <w:spacing w:after="0" w:before="0"/>
            </w:pPr>
            <w:r>
              <w:rPr>
                <w:rFonts w:ascii="Aptos" w:hAnsi="Aptos"/>
                <w:sz w:val="17"/>
              </w:rPr>
              <w:t>314</w:t>
            </w:r>
          </w:p>
        </w:tc>
        <w:tc>
          <w:tcPr>
            <w:tcW w:type="dxa" w:w="2613"/>
            <w:vAlign w:val="center"/>
            <w:tcMar>
              <w:top w:w="55" w:type="dxa"/>
              <w:start w:w="75" w:type="dxa"/>
              <w:bottom w:w="55" w:type="dxa"/>
              <w:end w:w="75" w:type="dxa"/>
            </w:tcMar>
          </w:tcPr>
          <w:p>
            <w:pPr>
              <w:spacing w:after="0" w:before="0"/>
            </w:pPr>
            <w:r>
              <w:rPr>
                <w:rFonts w:ascii="Aptos" w:hAnsi="Aptos"/>
                <w:sz w:val="17"/>
              </w:rPr>
              <w:t>32 × 9.8</w:t>
            </w:r>
          </w:p>
        </w:tc>
        <w:tc>
          <w:tcPr>
            <w:tcW w:type="dxa" w:w="2613"/>
            <w:vAlign w:val="center"/>
            <w:tcMar>
              <w:top w:w="55" w:type="dxa"/>
              <w:start w:w="75" w:type="dxa"/>
              <w:bottom w:w="55" w:type="dxa"/>
              <w:end w:w="75" w:type="dxa"/>
            </w:tcMar>
          </w:tcPr>
          <w:p>
            <w:pPr>
              <w:spacing w:after="0" w:before="0"/>
            </w:pPr>
            <w:r>
              <w:rPr>
                <w:rFonts w:ascii="Aptos" w:hAnsi="Aptos"/>
                <w:sz w:val="17"/>
              </w:rPr>
              <w:t>Simultaneous gasoline fueling capacity</w:t>
            </w:r>
          </w:p>
        </w:tc>
      </w:tr>
      <w:tr>
        <w:tc>
          <w:tcPr>
            <w:tcW w:type="dxa" w:w="2613"/>
            <w:vAlign w:val="center"/>
            <w:tcMar>
              <w:top w:w="55" w:type="dxa"/>
              <w:start w:w="75" w:type="dxa"/>
              <w:bottom w:w="55" w:type="dxa"/>
              <w:end w:w="75" w:type="dxa"/>
            </w:tcMar>
          </w:tcPr>
          <w:p>
            <w:pPr>
              <w:spacing w:after="0" w:before="0"/>
            </w:pPr>
            <w:r>
              <w:rPr>
                <w:rFonts w:ascii="Aptos" w:hAnsi="Aptos"/>
                <w:sz w:val="17"/>
              </w:rPr>
              <w:t>Estimated transactions/day</w:t>
            </w:r>
          </w:p>
        </w:tc>
        <w:tc>
          <w:tcPr>
            <w:tcW w:type="dxa" w:w="2613"/>
            <w:vAlign w:val="center"/>
            <w:tcMar>
              <w:top w:w="55" w:type="dxa"/>
              <w:start w:w="75" w:type="dxa"/>
              <w:bottom w:w="55" w:type="dxa"/>
              <w:end w:w="75" w:type="dxa"/>
            </w:tcMar>
          </w:tcPr>
          <w:p>
            <w:pPr>
              <w:spacing w:after="0" w:before="0"/>
            </w:pPr>
            <w:r>
              <w:rPr>
                <w:rFonts w:ascii="Aptos" w:hAnsi="Aptos"/>
                <w:sz w:val="17"/>
              </w:rPr>
              <w:t>10,304</w:t>
            </w:r>
          </w:p>
        </w:tc>
        <w:tc>
          <w:tcPr>
            <w:tcW w:type="dxa" w:w="2613"/>
            <w:vAlign w:val="center"/>
            <w:tcMar>
              <w:top w:w="55" w:type="dxa"/>
              <w:start w:w="75" w:type="dxa"/>
              <w:bottom w:w="55" w:type="dxa"/>
              <w:end w:w="75" w:type="dxa"/>
            </w:tcMar>
          </w:tcPr>
          <w:p>
            <w:pPr>
              <w:spacing w:after="0" w:before="0"/>
            </w:pPr>
            <w:r>
              <w:rPr>
                <w:rFonts w:ascii="Aptos" w:hAnsi="Aptos"/>
                <w:sz w:val="17"/>
              </w:rPr>
              <w:t>32 × 322</w:t>
            </w:r>
          </w:p>
        </w:tc>
        <w:tc>
          <w:tcPr>
            <w:tcW w:type="dxa" w:w="2613"/>
            <w:vAlign w:val="center"/>
            <w:tcMar>
              <w:top w:w="55" w:type="dxa"/>
              <w:start w:w="75" w:type="dxa"/>
              <w:bottom w:w="55" w:type="dxa"/>
              <w:end w:w="75" w:type="dxa"/>
            </w:tcMar>
          </w:tcPr>
          <w:p>
            <w:pPr>
              <w:spacing w:after="0" w:before="0"/>
            </w:pPr>
            <w:r>
              <w:rPr>
                <w:rFonts w:ascii="Aptos" w:hAnsi="Aptos"/>
                <w:sz w:val="17"/>
              </w:rPr>
              <w:t>Order-of-magnitude shared fueling demand</w:t>
            </w:r>
          </w:p>
        </w:tc>
      </w:tr>
      <w:tr>
        <w:tc>
          <w:tcPr>
            <w:tcW w:type="dxa" w:w="2613"/>
            <w:vAlign w:val="center"/>
            <w:tcMar>
              <w:top w:w="55" w:type="dxa"/>
              <w:start w:w="75" w:type="dxa"/>
              <w:bottom w:w="55" w:type="dxa"/>
              <w:end w:w="75" w:type="dxa"/>
            </w:tcMar>
          </w:tcPr>
          <w:p>
            <w:pPr>
              <w:spacing w:after="0" w:before="0"/>
            </w:pPr>
            <w:r>
              <w:rPr>
                <w:rFonts w:ascii="Aptos" w:hAnsi="Aptos"/>
                <w:sz w:val="17"/>
              </w:rPr>
              <w:t>Initial curbside L2 ports</w:t>
            </w:r>
          </w:p>
        </w:tc>
        <w:tc>
          <w:tcPr>
            <w:tcW w:type="dxa" w:w="2613"/>
            <w:vAlign w:val="center"/>
            <w:tcMar>
              <w:top w:w="55" w:type="dxa"/>
              <w:start w:w="75" w:type="dxa"/>
              <w:bottom w:w="55" w:type="dxa"/>
              <w:end w:w="75" w:type="dxa"/>
            </w:tcMar>
          </w:tcPr>
          <w:p>
            <w:pPr>
              <w:spacing w:after="0" w:before="0"/>
            </w:pPr>
            <w:r>
              <w:rPr>
                <w:rFonts w:ascii="Aptos" w:hAnsi="Aptos"/>
                <w:sz w:val="17"/>
              </w:rPr>
              <w:t>60</w:t>
            </w:r>
          </w:p>
        </w:tc>
        <w:tc>
          <w:tcPr>
            <w:tcW w:type="dxa" w:w="2613"/>
            <w:vAlign w:val="center"/>
            <w:tcMar>
              <w:top w:w="55" w:type="dxa"/>
              <w:start w:w="75" w:type="dxa"/>
              <w:bottom w:w="55" w:type="dxa"/>
              <w:end w:w="75" w:type="dxa"/>
            </w:tcMar>
          </w:tcPr>
          <w:p>
            <w:pPr>
              <w:spacing w:after="0" w:before="0"/>
            </w:pPr>
            <w:r>
              <w:rPr>
                <w:rFonts w:ascii="Aptos" w:hAnsi="Aptos"/>
                <w:sz w:val="17"/>
              </w:rPr>
              <w:t>City first-two-year cap</w:t>
            </w:r>
          </w:p>
        </w:tc>
        <w:tc>
          <w:tcPr>
            <w:tcW w:type="dxa" w:w="2613"/>
            <w:vAlign w:val="center"/>
            <w:tcMar>
              <w:top w:w="55" w:type="dxa"/>
              <w:start w:w="75" w:type="dxa"/>
              <w:bottom w:w="55" w:type="dxa"/>
              <w:end w:w="75" w:type="dxa"/>
            </w:tcMar>
          </w:tcPr>
          <w:p>
            <w:pPr>
              <w:spacing w:after="0" w:before="0"/>
            </w:pPr>
            <w:r>
              <w:rPr>
                <w:rFonts w:ascii="Aptos" w:hAnsi="Aptos"/>
                <w:sz w:val="17"/>
              </w:rPr>
              <w:t>Neighborhood charging pilot scale</w:t>
            </w:r>
          </w:p>
        </w:tc>
      </w:tr>
      <w:tr>
        <w:tc>
          <w:tcPr>
            <w:tcW w:type="dxa" w:w="2613"/>
            <w:vAlign w:val="center"/>
            <w:tcMar>
              <w:top w:w="55" w:type="dxa"/>
              <w:start w:w="75" w:type="dxa"/>
              <w:bottom w:w="55" w:type="dxa"/>
              <w:end w:w="75" w:type="dxa"/>
            </w:tcMar>
          </w:tcPr>
          <w:p>
            <w:pPr>
              <w:spacing w:after="0" w:before="0"/>
            </w:pPr>
            <w:r>
              <w:rPr>
                <w:rFonts w:ascii="Aptos" w:hAnsi="Aptos"/>
                <w:sz w:val="17"/>
              </w:rPr>
              <w:t>Current DC fast ports</w:t>
            </w:r>
          </w:p>
        </w:tc>
        <w:tc>
          <w:tcPr>
            <w:tcW w:type="dxa" w:w="2613"/>
            <w:vAlign w:val="center"/>
            <w:tcMar>
              <w:top w:w="55" w:type="dxa"/>
              <w:start w:w="75" w:type="dxa"/>
              <w:bottom w:w="55" w:type="dxa"/>
              <w:end w:w="75" w:type="dxa"/>
            </w:tcMar>
          </w:tcPr>
          <w:p>
            <w:pPr>
              <w:spacing w:after="0" w:before="0"/>
            </w:pPr>
            <w:r>
              <w:rPr>
                <w:rFonts w:ascii="Aptos" w:hAnsi="Aptos"/>
                <w:sz w:val="17"/>
              </w:rPr>
              <w:t>8</w:t>
            </w:r>
          </w:p>
        </w:tc>
        <w:tc>
          <w:tcPr>
            <w:tcW w:type="dxa" w:w="2613"/>
            <w:vAlign w:val="center"/>
            <w:tcMar>
              <w:top w:w="55" w:type="dxa"/>
              <w:start w:w="75" w:type="dxa"/>
              <w:bottom w:w="55" w:type="dxa"/>
              <w:end w:w="75" w:type="dxa"/>
            </w:tcMar>
          </w:tcPr>
          <w:p>
            <w:pPr>
              <w:spacing w:after="0" w:before="0"/>
            </w:pPr>
            <w:r>
              <w:rPr>
                <w:rFonts w:ascii="Aptos" w:hAnsi="Aptos"/>
                <w:sz w:val="17"/>
              </w:rPr>
              <w:t>2 sites × 4 ports</w:t>
            </w:r>
          </w:p>
        </w:tc>
        <w:tc>
          <w:tcPr>
            <w:tcW w:type="dxa" w:w="2613"/>
            <w:vAlign w:val="center"/>
            <w:tcMar>
              <w:top w:w="55" w:type="dxa"/>
              <w:start w:w="75" w:type="dxa"/>
              <w:bottom w:w="55" w:type="dxa"/>
              <w:end w:w="75" w:type="dxa"/>
            </w:tcMar>
          </w:tcPr>
          <w:p>
            <w:pPr>
              <w:spacing w:after="0" w:before="0"/>
            </w:pPr>
            <w:r>
              <w:rPr>
                <w:rFonts w:ascii="Aptos" w:hAnsi="Aptos"/>
                <w:sz w:val="17"/>
              </w:rPr>
              <w:t>High-throughput public charging</w:t>
            </w:r>
          </w:p>
        </w:tc>
      </w:tr>
    </w:tbl>
    <w:p>
      <w:r>
        <w:t>The transaction comparison should be interpreted as a capacity analogue, not as a claim that every gasoline transaction must become a public charging session. The purpose is to illustrate why the City benefits when as much charging as possible occurs privately or semi-privately where vehicles already dwell.</w:t>
      </w:r>
    </w:p>
    <w:p>
      <w:pPr>
        <w:pStyle w:val="Heading1"/>
      </w:pPr>
      <w:r>
        <w:t>4. Focusing only on households without practical home charging</w:t>
      </w:r>
    </w:p>
    <w:p>
      <w:r>
        <w:t>A more relevant planning test is to assume that only a share of citywide fueling demand must be served by shared public infrastructure. Alexandria has a large multifamily population, while some single-family households lack driveways or garages. Because the precise future share of vehicle energy demand without reliable residential charging is uncertain, this paper uses an illustrative 25% to 45% range, with 35% as a central planning case. These are scenario assumptions, not measured City forecasts.</w:t>
      </w:r>
    </w:p>
    <w:tbl>
      <w:tblPr>
        <w:tblStyle w:val="TableGrid"/>
        <w:tblW w:type="auto" w:w="0"/>
        <w:jc w:val="center"/>
        <w:tblLook w:firstColumn="1" w:firstRow="1" w:lastColumn="0" w:lastRow="0" w:noHBand="0" w:noVBand="1" w:val="04A0"/>
      </w:tblPr>
      <w:tblGrid>
        <w:gridCol w:w="2091"/>
        <w:gridCol w:w="2091"/>
        <w:gridCol w:w="2091"/>
        <w:gridCol w:w="2091"/>
        <w:gridCol w:w="2091"/>
      </w:tblGrid>
      <w:tr>
        <w:tc>
          <w:tcPr>
            <w:tcW w:type="dxa" w:w="2091"/>
            <w:vAlign w:val="center"/>
            <w:tcMar>
              <w:top w:w="55" w:type="dxa"/>
              <w:start w:w="75" w:type="dxa"/>
              <w:bottom w:w="55" w:type="dxa"/>
              <w:end w:w="75" w:type="dxa"/>
            </w:tcMar>
            <w:shd w:fill="DCE6F1"/>
          </w:tcPr>
          <w:p>
            <w:pPr>
              <w:spacing w:after="0" w:before="0"/>
            </w:pPr>
            <w:r>
              <w:rPr>
                <w:rFonts w:ascii="Aptos" w:hAnsi="Aptos"/>
                <w:b/>
                <w:sz w:val="16"/>
              </w:rPr>
              <w:t>Residual demand needing shared charging</w:t>
            </w:r>
          </w:p>
        </w:tc>
        <w:tc>
          <w:tcPr>
            <w:tcW w:type="dxa" w:w="2091"/>
            <w:vAlign w:val="center"/>
            <w:tcMar>
              <w:top w:w="55" w:type="dxa"/>
              <w:start w:w="75" w:type="dxa"/>
              <w:bottom w:w="55" w:type="dxa"/>
              <w:end w:w="75" w:type="dxa"/>
            </w:tcMar>
            <w:shd w:fill="DCE6F1"/>
          </w:tcPr>
          <w:p>
            <w:pPr>
              <w:spacing w:after="0" w:before="0"/>
            </w:pPr>
            <w:r>
              <w:rPr>
                <w:rFonts w:ascii="Aptos" w:hAnsi="Aptos"/>
                <w:b/>
                <w:sz w:val="16"/>
              </w:rPr>
              <w:t>If L2 serves 100%</w:t>
            </w:r>
          </w:p>
        </w:tc>
        <w:tc>
          <w:tcPr>
            <w:tcW w:type="dxa" w:w="2091"/>
            <w:vAlign w:val="center"/>
            <w:tcMar>
              <w:top w:w="55" w:type="dxa"/>
              <w:start w:w="75" w:type="dxa"/>
              <w:bottom w:w="55" w:type="dxa"/>
              <w:end w:w="75" w:type="dxa"/>
            </w:tcMar>
            <w:shd w:fill="DCE6F1"/>
          </w:tcPr>
          <w:p>
            <w:pPr>
              <w:spacing w:after="0" w:before="0"/>
            </w:pPr>
            <w:r>
              <w:rPr>
                <w:rFonts w:ascii="Aptos" w:hAnsi="Aptos"/>
                <w:b/>
                <w:sz w:val="16"/>
              </w:rPr>
              <w:t>If L2 serves 60%</w:t>
            </w:r>
          </w:p>
        </w:tc>
        <w:tc>
          <w:tcPr>
            <w:tcW w:type="dxa" w:w="2091"/>
            <w:vAlign w:val="center"/>
            <w:tcMar>
              <w:top w:w="55" w:type="dxa"/>
              <w:start w:w="75" w:type="dxa"/>
              <w:bottom w:w="55" w:type="dxa"/>
              <w:end w:w="75" w:type="dxa"/>
            </w:tcMar>
            <w:shd w:fill="DCE6F1"/>
          </w:tcPr>
          <w:p>
            <w:pPr>
              <w:spacing w:after="0" w:before="0"/>
            </w:pPr>
            <w:r>
              <w:rPr>
                <w:rFonts w:ascii="Aptos" w:hAnsi="Aptos"/>
                <w:b/>
                <w:sz w:val="16"/>
              </w:rPr>
              <w:t>If L2 serves 40%</w:t>
            </w:r>
          </w:p>
        </w:tc>
        <w:tc>
          <w:tcPr>
            <w:tcW w:type="dxa" w:w="2091"/>
            <w:vAlign w:val="center"/>
            <w:tcMar>
              <w:top w:w="55" w:type="dxa"/>
              <w:start w:w="75" w:type="dxa"/>
              <w:bottom w:w="55" w:type="dxa"/>
              <w:end w:w="75" w:type="dxa"/>
            </w:tcMar>
            <w:shd w:fill="DCE6F1"/>
          </w:tcPr>
          <w:p>
            <w:pPr>
              <w:spacing w:after="0" w:before="0"/>
            </w:pPr>
            <w:r>
              <w:rPr>
                <w:rFonts w:ascii="Aptos" w:hAnsi="Aptos"/>
                <w:b/>
                <w:sz w:val="16"/>
              </w:rPr>
              <w:t>Interpretation</w:t>
            </w:r>
          </w:p>
        </w:tc>
      </w:tr>
      <w:tr>
        <w:tc>
          <w:tcPr>
            <w:tcW w:type="dxa" w:w="2091"/>
            <w:vAlign w:val="center"/>
            <w:tcMar>
              <w:top w:w="55" w:type="dxa"/>
              <w:start w:w="75" w:type="dxa"/>
              <w:bottom w:w="55" w:type="dxa"/>
              <w:end w:w="75" w:type="dxa"/>
            </w:tcMar>
          </w:tcPr>
          <w:p>
            <w:pPr>
              <w:spacing w:after="0" w:before="0"/>
            </w:pPr>
            <w:r>
              <w:rPr>
                <w:rFonts w:ascii="Aptos" w:hAnsi="Aptos"/>
                <w:sz w:val="16"/>
              </w:rPr>
              <w:t>25%</w:t>
            </w:r>
          </w:p>
        </w:tc>
        <w:tc>
          <w:tcPr>
            <w:tcW w:type="dxa" w:w="2091"/>
            <w:vAlign w:val="center"/>
            <w:tcMar>
              <w:top w:w="55" w:type="dxa"/>
              <w:start w:w="75" w:type="dxa"/>
              <w:bottom w:w="55" w:type="dxa"/>
              <w:end w:w="75" w:type="dxa"/>
            </w:tcMar>
          </w:tcPr>
          <w:p>
            <w:pPr>
              <w:spacing w:after="0" w:before="0"/>
            </w:pPr>
            <w:r>
              <w:rPr>
                <w:rFonts w:ascii="Aptos" w:hAnsi="Aptos"/>
                <w:sz w:val="16"/>
              </w:rPr>
              <w:t>1,073</w:t>
            </w:r>
          </w:p>
        </w:tc>
        <w:tc>
          <w:tcPr>
            <w:tcW w:type="dxa" w:w="2091"/>
            <w:vAlign w:val="center"/>
            <w:tcMar>
              <w:top w:w="55" w:type="dxa"/>
              <w:start w:w="75" w:type="dxa"/>
              <w:bottom w:w="55" w:type="dxa"/>
              <w:end w:w="75" w:type="dxa"/>
            </w:tcMar>
          </w:tcPr>
          <w:p>
            <w:pPr>
              <w:spacing w:after="0" w:before="0"/>
            </w:pPr>
            <w:r>
              <w:rPr>
                <w:rFonts w:ascii="Aptos" w:hAnsi="Aptos"/>
                <w:sz w:val="16"/>
              </w:rPr>
              <w:t>644</w:t>
            </w:r>
          </w:p>
        </w:tc>
        <w:tc>
          <w:tcPr>
            <w:tcW w:type="dxa" w:w="2091"/>
            <w:vAlign w:val="center"/>
            <w:tcMar>
              <w:top w:w="55" w:type="dxa"/>
              <w:start w:w="75" w:type="dxa"/>
              <w:bottom w:w="55" w:type="dxa"/>
              <w:end w:w="75" w:type="dxa"/>
            </w:tcMar>
          </w:tcPr>
          <w:p>
            <w:pPr>
              <w:spacing w:after="0" w:before="0"/>
            </w:pPr>
            <w:r>
              <w:rPr>
                <w:rFonts w:ascii="Aptos" w:hAnsi="Aptos"/>
                <w:sz w:val="16"/>
              </w:rPr>
              <w:t>429</w:t>
            </w:r>
          </w:p>
        </w:tc>
        <w:tc>
          <w:tcPr>
            <w:tcW w:type="dxa" w:w="2091"/>
            <w:vAlign w:val="center"/>
            <w:tcMar>
              <w:top w:w="55" w:type="dxa"/>
              <w:start w:w="75" w:type="dxa"/>
              <w:bottom w:w="55" w:type="dxa"/>
              <w:end w:w="75" w:type="dxa"/>
            </w:tcMar>
          </w:tcPr>
          <w:p>
            <w:pPr>
              <w:spacing w:after="0" w:before="0"/>
            </w:pPr>
            <w:r>
              <w:rPr>
                <w:rFonts w:ascii="Aptos" w:hAnsi="Aptos"/>
                <w:sz w:val="16"/>
              </w:rPr>
              <w:t>L2 ports required at 30% utilization and 3-hour dwell</w:t>
            </w:r>
          </w:p>
        </w:tc>
      </w:tr>
      <w:tr>
        <w:tc>
          <w:tcPr>
            <w:tcW w:type="dxa" w:w="2091"/>
            <w:vAlign w:val="center"/>
            <w:tcMar>
              <w:top w:w="55" w:type="dxa"/>
              <w:start w:w="75" w:type="dxa"/>
              <w:bottom w:w="55" w:type="dxa"/>
              <w:end w:w="75" w:type="dxa"/>
            </w:tcMar>
          </w:tcPr>
          <w:p>
            <w:pPr>
              <w:spacing w:after="0" w:before="0"/>
            </w:pPr>
            <w:r>
              <w:rPr>
                <w:rFonts w:ascii="Aptos" w:hAnsi="Aptos"/>
                <w:sz w:val="16"/>
              </w:rPr>
              <w:t>35%</w:t>
            </w:r>
          </w:p>
        </w:tc>
        <w:tc>
          <w:tcPr>
            <w:tcW w:type="dxa" w:w="2091"/>
            <w:vAlign w:val="center"/>
            <w:tcMar>
              <w:top w:w="55" w:type="dxa"/>
              <w:start w:w="75" w:type="dxa"/>
              <w:bottom w:w="55" w:type="dxa"/>
              <w:end w:w="75" w:type="dxa"/>
            </w:tcMar>
          </w:tcPr>
          <w:p>
            <w:pPr>
              <w:spacing w:after="0" w:before="0"/>
            </w:pPr>
            <w:r>
              <w:rPr>
                <w:rFonts w:ascii="Aptos" w:hAnsi="Aptos"/>
                <w:sz w:val="16"/>
              </w:rPr>
              <w:t>1,503</w:t>
            </w:r>
          </w:p>
        </w:tc>
        <w:tc>
          <w:tcPr>
            <w:tcW w:type="dxa" w:w="2091"/>
            <w:vAlign w:val="center"/>
            <w:tcMar>
              <w:top w:w="55" w:type="dxa"/>
              <w:start w:w="75" w:type="dxa"/>
              <w:bottom w:w="55" w:type="dxa"/>
              <w:end w:w="75" w:type="dxa"/>
            </w:tcMar>
          </w:tcPr>
          <w:p>
            <w:pPr>
              <w:spacing w:after="0" w:before="0"/>
            </w:pPr>
            <w:r>
              <w:rPr>
                <w:rFonts w:ascii="Aptos" w:hAnsi="Aptos"/>
                <w:sz w:val="16"/>
              </w:rPr>
              <w:t>902</w:t>
            </w:r>
          </w:p>
        </w:tc>
        <w:tc>
          <w:tcPr>
            <w:tcW w:type="dxa" w:w="2091"/>
            <w:vAlign w:val="center"/>
            <w:tcMar>
              <w:top w:w="55" w:type="dxa"/>
              <w:start w:w="75" w:type="dxa"/>
              <w:bottom w:w="55" w:type="dxa"/>
              <w:end w:w="75" w:type="dxa"/>
            </w:tcMar>
          </w:tcPr>
          <w:p>
            <w:pPr>
              <w:spacing w:after="0" w:before="0"/>
            </w:pPr>
            <w:r>
              <w:rPr>
                <w:rFonts w:ascii="Aptos" w:hAnsi="Aptos"/>
                <w:sz w:val="16"/>
              </w:rPr>
              <w:t>601</w:t>
            </w:r>
          </w:p>
        </w:tc>
        <w:tc>
          <w:tcPr>
            <w:tcW w:type="dxa" w:w="2091"/>
            <w:vAlign w:val="center"/>
            <w:tcMar>
              <w:top w:w="55" w:type="dxa"/>
              <w:start w:w="75" w:type="dxa"/>
              <w:bottom w:w="55" w:type="dxa"/>
              <w:end w:w="75" w:type="dxa"/>
            </w:tcMar>
          </w:tcPr>
          <w:p>
            <w:pPr>
              <w:spacing w:after="0" w:before="0"/>
            </w:pPr>
            <w:r>
              <w:rPr>
                <w:rFonts w:ascii="Aptos" w:hAnsi="Aptos"/>
                <w:sz w:val="16"/>
              </w:rPr>
              <w:t>L2 ports required at 30% utilization and 3-hour dwell</w:t>
            </w:r>
          </w:p>
        </w:tc>
      </w:tr>
      <w:tr>
        <w:tc>
          <w:tcPr>
            <w:tcW w:type="dxa" w:w="2091"/>
            <w:vAlign w:val="center"/>
            <w:tcMar>
              <w:top w:w="55" w:type="dxa"/>
              <w:start w:w="75" w:type="dxa"/>
              <w:bottom w:w="55" w:type="dxa"/>
              <w:end w:w="75" w:type="dxa"/>
            </w:tcMar>
          </w:tcPr>
          <w:p>
            <w:pPr>
              <w:spacing w:after="0" w:before="0"/>
            </w:pPr>
            <w:r>
              <w:rPr>
                <w:rFonts w:ascii="Aptos" w:hAnsi="Aptos"/>
                <w:sz w:val="16"/>
              </w:rPr>
              <w:t>45%</w:t>
            </w:r>
          </w:p>
        </w:tc>
        <w:tc>
          <w:tcPr>
            <w:tcW w:type="dxa" w:w="2091"/>
            <w:vAlign w:val="center"/>
            <w:tcMar>
              <w:top w:w="55" w:type="dxa"/>
              <w:start w:w="75" w:type="dxa"/>
              <w:bottom w:w="55" w:type="dxa"/>
              <w:end w:w="75" w:type="dxa"/>
            </w:tcMar>
          </w:tcPr>
          <w:p>
            <w:pPr>
              <w:spacing w:after="0" w:before="0"/>
            </w:pPr>
            <w:r>
              <w:rPr>
                <w:rFonts w:ascii="Aptos" w:hAnsi="Aptos"/>
                <w:sz w:val="16"/>
              </w:rPr>
              <w:t>1,932</w:t>
            </w:r>
          </w:p>
        </w:tc>
        <w:tc>
          <w:tcPr>
            <w:tcW w:type="dxa" w:w="2091"/>
            <w:vAlign w:val="center"/>
            <w:tcMar>
              <w:top w:w="55" w:type="dxa"/>
              <w:start w:w="75" w:type="dxa"/>
              <w:bottom w:w="55" w:type="dxa"/>
              <w:end w:w="75" w:type="dxa"/>
            </w:tcMar>
          </w:tcPr>
          <w:p>
            <w:pPr>
              <w:spacing w:after="0" w:before="0"/>
            </w:pPr>
            <w:r>
              <w:rPr>
                <w:rFonts w:ascii="Aptos" w:hAnsi="Aptos"/>
                <w:sz w:val="16"/>
              </w:rPr>
              <w:t>1,159</w:t>
            </w:r>
          </w:p>
        </w:tc>
        <w:tc>
          <w:tcPr>
            <w:tcW w:type="dxa" w:w="2091"/>
            <w:vAlign w:val="center"/>
            <w:tcMar>
              <w:top w:w="55" w:type="dxa"/>
              <w:start w:w="75" w:type="dxa"/>
              <w:bottom w:w="55" w:type="dxa"/>
              <w:end w:w="75" w:type="dxa"/>
            </w:tcMar>
          </w:tcPr>
          <w:p>
            <w:pPr>
              <w:spacing w:after="0" w:before="0"/>
            </w:pPr>
            <w:r>
              <w:rPr>
                <w:rFonts w:ascii="Aptos" w:hAnsi="Aptos"/>
                <w:sz w:val="16"/>
              </w:rPr>
              <w:t>773</w:t>
            </w:r>
          </w:p>
        </w:tc>
        <w:tc>
          <w:tcPr>
            <w:tcW w:type="dxa" w:w="2091"/>
            <w:vAlign w:val="center"/>
            <w:tcMar>
              <w:top w:w="55" w:type="dxa"/>
              <w:start w:w="75" w:type="dxa"/>
              <w:bottom w:w="55" w:type="dxa"/>
              <w:end w:w="75" w:type="dxa"/>
            </w:tcMar>
          </w:tcPr>
          <w:p>
            <w:pPr>
              <w:spacing w:after="0" w:before="0"/>
            </w:pPr>
            <w:r>
              <w:rPr>
                <w:rFonts w:ascii="Aptos" w:hAnsi="Aptos"/>
                <w:sz w:val="16"/>
              </w:rPr>
              <w:t>L2 ports required at 30% utilization and 3-hour dwell</w:t>
            </w:r>
          </w:p>
        </w:tc>
      </w:tr>
    </w:tbl>
    <w:p>
      <w:r>
        <w:rPr>
          <w:b/>
        </w:rPr>
        <w:t xml:space="preserve">Illustrative result: </w:t>
      </w:r>
      <w:r>
        <w:t>if 35% of gasoline-transaction-equivalent demand ultimately belongs to households that need shared charging, and curbside/public L2 is expected to carry all of it, the simple turnover analogue is about 1,503 L2 ports. If other channels (residential ROW charging, multifamily charging, workplace charging, and DC fast charging) absorb 40% of that residual demand, the L2 requirement falls to about 902 ports. If they absorb 60%, it falls to about 601.</w:t>
      </w:r>
    </w:p>
    <w:p>
      <w:pPr>
        <w:pStyle w:val="Heading1"/>
      </w:pPr>
      <w:r>
        <w:t>5. Why DC fast charging is an important complement</w:t>
      </w:r>
    </w:p>
    <w:p>
      <w:r>
        <w:t>DOE and NREL do not model public Level 2 as the sole shared-charging solution. NREL's 2030 national charging analysis estimates that public DC fast charging will provide 20% of EV charging energy, compared with 8% from public Level 2. DOE also notes that DC fast charging is particularly important for drivers without consistent off-street parking as well as for long-distance travel.</w:t>
      </w:r>
    </w:p>
    <w:p>
      <w:r>
        <w:t>Alexandria's own planning documents recognize this need. The City's EV readiness strategy includes both public Level 2 and public DC fast charging, and the City's CHARGE Alex CFI grant narrative proposed four DC fast chargers near South Pickett Street and Van Dorn Street.</w:t>
      </w:r>
    </w:p>
    <w:p>
      <w:r>
        <w:rPr>
          <w:b/>
        </w:rPr>
        <w:t xml:space="preserve">Using the current working inventory of only two four-port DC fast sites inside the City, Alexandria has eight fast-charging ports. </w:t>
      </w:r>
      <w:r>
        <w:t>That is a very small high-throughput network for a city of Alexandria's density and for a policy that expects shared charging to substitute for home access for some residents. Adding DC fast capacity would not eliminate the need for neighborhood L2, but it would provide a practical option for drivers who need substantial energy quickly, reduce pressure on long-dwell curbside spaces, and provide redundancy when neighborhood chargers are occupied or unavailable.</w:t>
      </w:r>
    </w:p>
    <w:p>
      <w:pPr>
        <w:pStyle w:val="Heading1"/>
      </w:pPr>
      <w:r>
        <w:t>6. Why residential right-of-way charging changes the capacity equation</w:t>
      </w:r>
    </w:p>
    <w:p>
      <w:r>
        <w:t>The highest-capacity charging resource is not necessarily a public commercial charger. It is a vehicle that can charge where it is already parked for many hours. For households with electrical service adjacent to the street but no driveway, a controlled sidewalk-crossing or other right-of-way charging permit can convert an otherwise public-charging-dependent household into a home-charging household without consuming a shared public charging port.</w:t>
      </w:r>
    </w:p>
    <w:p>
      <w:r>
        <w:t>Every household that can safely satisfy routine charging at home reduces the amount of shared public infrastructure required. The same logic underlies Alexandria's Plug In Alexandria program for multifamily properties. Residential sidewalk or ROW charging is the single-family analogue: rather than requiring every resident without off-street parking to compete for a commercial curbside charger, the City can permit safe private charging where site conditions allow.</w:t>
      </w:r>
    </w:p>
    <w:p>
      <w:pPr>
        <w:pStyle w:val="Heading1"/>
      </w:pPr>
      <w:r>
        <w:t>7. Recommended balanced strategy</w:t>
      </w:r>
    </w:p>
    <w:p>
      <w:pPr>
        <w:spacing w:after="60"/>
        <w:ind w:left="288" w:hanging="173"/>
      </w:pPr>
      <w:r>
        <w:rPr>
          <w:b/>
        </w:rPr>
        <w:t xml:space="preserve">• </w:t>
      </w:r>
      <w:r>
        <w:t>Continue the curbside Level 2 program, but treat it as one component of the charging network rather than the default replacement for home charging.</w:t>
      </w:r>
    </w:p>
    <w:p>
      <w:pPr>
        <w:spacing w:after="60"/>
        <w:ind w:left="288" w:hanging="173"/>
      </w:pPr>
      <w:r>
        <w:rPr>
          <w:b/>
        </w:rPr>
        <w:t xml:space="preserve">• </w:t>
      </w:r>
      <w:r>
        <w:t>Actively facilitate additional DC fast charging sites. High-throughput fast charging provides a different service than neighborhood L2 and can absorb demand that would otherwise require many more long-dwell ports.</w:t>
      </w:r>
    </w:p>
    <w:p>
      <w:pPr>
        <w:spacing w:after="60"/>
        <w:ind w:left="288" w:hanging="173"/>
      </w:pPr>
      <w:r>
        <w:rPr>
          <w:b/>
        </w:rPr>
        <w:t xml:space="preserve">• </w:t>
      </w:r>
      <w:r>
        <w:t>Create a safe residential sidewalk/right-of-way charging permit for households without driveways where a compliant crossing or other approved installation is feasible.</w:t>
      </w:r>
    </w:p>
    <w:p>
      <w:pPr>
        <w:spacing w:after="60"/>
        <w:ind w:left="288" w:hanging="173"/>
      </w:pPr>
      <w:r>
        <w:rPr>
          <w:b/>
        </w:rPr>
        <w:t xml:space="preserve">• </w:t>
      </w:r>
      <w:r>
        <w:t>Continue and expand multifamily charging assistance so apartment and condominium residents can charge where they already park.</w:t>
      </w:r>
    </w:p>
    <w:p>
      <w:pPr>
        <w:spacing w:after="60"/>
        <w:ind w:left="288" w:hanging="173"/>
      </w:pPr>
      <w:r>
        <w:rPr>
          <w:b/>
        </w:rPr>
        <w:t xml:space="preserve">• </w:t>
      </w:r>
      <w:r>
        <w:t>Measure delivered energy, occupied time, unsuccessful charging attempts, uptime, turnover, and geographic coverage during the 60-port curbside pilot. These metrics are more useful for capacity planning than charger counts alone.</w:t>
      </w:r>
    </w:p>
    <w:p>
      <w:pPr>
        <w:spacing w:after="60"/>
        <w:ind w:left="288" w:hanging="173"/>
      </w:pPr>
      <w:r>
        <w:rPr>
          <w:b/>
        </w:rPr>
        <w:t xml:space="preserve">• </w:t>
      </w:r>
      <w:r>
        <w:t>Plan charging as a portfolio. Future targets should separately identify residential/private L1-L2, multifamily L2, public curbside/destination L2, and public DC fast charging capacity.</w:t>
      </w:r>
    </w:p>
    <w:p>
      <w:pPr>
        <w:pStyle w:val="Heading1"/>
      </w:pPr>
      <w:r>
        <w:t>Conclusion</w:t>
      </w:r>
    </w:p>
    <w:p>
      <w:r>
        <w:rPr>
          <w:b/>
        </w:rPr>
        <w:t xml:space="preserve">Alexandria's curbside Level 2 program addresses a real access gap, but Level 2 charging alone is a difficult infrastructure strategy for residents who cannot charge at home. </w:t>
      </w:r>
      <w:r>
        <w:t>A three-hour charging session inherently produces low vehicle turnover, so replacing a meaningful share of shared fueling demand requires hundreds or potentially more than a thousand public L2 ports depending on utilization and the share of demand assigned to curbside charging.</w:t>
      </w:r>
    </w:p>
    <w:p>
      <w:r>
        <w:t>The more scalable approach is to reduce the demand that must be served by public L2 in the first place. Safe residential ROW charging and multifamily charging allow routine energy needs to be met where vehicles already park. DC fast charging supplies high-throughput shared capacity for drivers who cannot charge at home or need substantial energy quickly. Curbside L2 can then perform the role it is best suited for: convenient neighborhood charging for long-dwell vehicles, as part of a broader and more resilient charging network.</w:t>
      </w:r>
    </w:p>
    <w:p>
      <w:pPr>
        <w:pStyle w:val="Heading1"/>
      </w:pPr>
      <w:r>
        <w:t>Sources and modeling notes</w:t>
      </w:r>
    </w:p>
    <w:p>
      <w:pPr>
        <w:spacing w:after="40"/>
        <w:ind w:left="317" w:hanging="317"/>
      </w:pPr>
      <w:r>
        <w:rPr>
          <w:sz w:val="16"/>
        </w:rPr>
        <w:t>1. City of Alexandria, Electric Vehicles in Alexandria (2026): curbside program purpose, up to 60 chargers in first two years, and Plug In Alexandria resources. https://www.alexandriava.gov/energy/electric-vehicles-in-alexandria</w:t>
      </w:r>
    </w:p>
    <w:p>
      <w:pPr>
        <w:spacing w:after="40"/>
        <w:ind w:left="317" w:hanging="317"/>
      </w:pPr>
      <w:r>
        <w:rPr>
          <w:sz w:val="16"/>
        </w:rPr>
        <w:t>2. City of Alexandria, Eco-City Newsletter (Feb. 2026): cites EPRI estimate that about 75% of charging occurs at home and describes curbside charging as closing the gap for residents without dedicated driveways/garages or in multifamily housing. https://www.alexandriava.gov/news-eco-city/2026-02-28/eco-city-newsletter-february-2026</w:t>
      </w:r>
    </w:p>
    <w:p>
      <w:pPr>
        <w:spacing w:after="40"/>
        <w:ind w:left="317" w:hanging="317"/>
      </w:pPr>
      <w:r>
        <w:rPr>
          <w:sz w:val="16"/>
        </w:rPr>
        <w:t>3. City of Alexandria, Electric Vehicle Charging Infrastructure Readiness Strategy: distinguishes residential/workplace, public L2, and public DC fast charging; projects up to 100 public chargers by 2030 and more than 800 by 2050 in the strong multilevel policy case. https://alexandriava.gov/sites/default/files/2024-06/alexandria_evrs_final.pdf</w:t>
      </w:r>
    </w:p>
    <w:p>
      <w:pPr>
        <w:spacing w:after="40"/>
        <w:ind w:left="317" w:hanging="317"/>
      </w:pPr>
      <w:r>
        <w:rPr>
          <w:sz w:val="16"/>
        </w:rPr>
        <w:t>4. U.S. DOE / NREL, 2030 National Charging Network: 64% of charging energy at single-family homes, 8% public L2, and 20% public DC fast in the modeled 2030 network. https://www.energy.gov/cmei/vehicles/articles/fotw-1335-march-25-2024-level-1-and-level-2-ev-charging-expected-account-80</w:t>
      </w:r>
    </w:p>
    <w:p>
      <w:pPr>
        <w:spacing w:after="40"/>
        <w:ind w:left="317" w:hanging="317"/>
      </w:pPr>
      <w:r>
        <w:rPr>
          <w:sz w:val="16"/>
        </w:rPr>
        <w:t>5. U.S. DOE, EVGrid Assist: estimates DC fast ports are needed primarily for drivers without consistent off-street parking and long-distance travel. https://www.energy.gov/cmei/vehicles/evgrid-assist-charts-and-figures</w:t>
      </w:r>
    </w:p>
    <w:p>
      <w:pPr>
        <w:spacing w:after="40"/>
        <w:ind w:left="317" w:hanging="317"/>
      </w:pPr>
      <w:r>
        <w:rPr>
          <w:sz w:val="16"/>
        </w:rPr>
        <w:t>6. U.S. DOE, Fact of the Week 1319 (Dec. 2023): observed paid DC fast charging sessions averaged 42 minutes and 22 kWh. https://www.energy.gov/cmei/vehicles/articles/fotw-1319-december-4-2023-ev-charging-paid-dc-fast-charging-stations-average</w:t>
      </w:r>
    </w:p>
    <w:p>
      <w:pPr>
        <w:spacing w:after="40"/>
        <w:ind w:left="317" w:hanging="317"/>
      </w:pPr>
      <w:r>
        <w:rPr>
          <w:sz w:val="16"/>
        </w:rPr>
        <w:t>7. NACS, Key Facts About Fueling (2026): 9.8 fueling positions per fuel-selling convenience store and 322 fueling transactions per day at the average fuel-selling convenience store. https://www.convenience.org/topics/fuels-and-energy/the-us-petroleum-industry-statistics-definitions</w:t>
      </w:r>
    </w:p>
    <w:p>
      <w:pPr>
        <w:spacing w:after="40"/>
        <w:ind w:left="317" w:hanging="317"/>
      </w:pPr>
      <w:r>
        <w:rPr>
          <w:sz w:val="16"/>
        </w:rPr>
        <w:t>8. City of Alexandria, CHARGE Alex CFI Grant Program narrative: proposed four DC fast chargers at S. Pickett Street and Van Dorn Street. https://www.alexandriava.gov/sites/default/files/2024-07/240702_alx_public_charging_franchise_agreement.pdf</w:t>
      </w:r>
    </w:p>
    <w:p>
      <w:r>
        <w:rPr>
          <w:i/>
          <w:color w:val="505050"/>
          <w:sz w:val="16"/>
        </w:rPr>
        <w:t>Modeling caveats: The 32 gasoline-station inventory and the current two-site/eight-port DC fast inventory are working Alexandria assumptions for this paper. The 25%-45% residual shared-charging-demand range is illustrative rather than a City forecast. Gasoline transaction counts are used only as an order-of-magnitude service-throughput analogue. EV charging frequency, energy per session, travel behavior, and future vehicle efficiency differ materially from gasoline fueling.</w:t>
      </w:r>
    </w:p>
    <w:sectPr w:rsidR="00FC693F" w:rsidRPr="0006063C" w:rsidSect="00034616">
      <w:footerReference w:type="default" r:id="rId9"/>
      <w:pgSz w:w="12240" w:h="15840"/>
      <w:pgMar w:top="835" w:right="893" w:bottom="83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Alexandria EV Charging Capacity Strategy | Working paper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1"/>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2">
    <w:name w:val="Subtitle2"/>
    <w:rPr>
      <w:rFonts w:ascii="Aptos" w:hAnsi="Aptos"/>
      <w:i/>
      <w:color w:val="4B4B4B"/>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