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Cross-Curb EV Charging in Alexandria</w:t>
      </w:r>
    </w:p>
    <w:p>
      <w:pPr>
        <w:jc w:val="center"/>
      </w:pPr>
      <w:r>
        <w:rPr>
          <w:b/>
        </w:rPr>
        <w:t>Options, preliminary costs, and a practical permit pathway</w:t>
      </w:r>
    </w:p>
    <w:p>
      <w:pPr>
        <w:jc w:val="center"/>
      </w:pPr>
      <w:r>
        <w:t>Working policy analysis | September 2026</w:t>
      </w:r>
    </w:p>
    <w:p>
      <w:pPr>
        <w:pStyle w:val="Heading1"/>
      </w:pPr>
      <w:r>
        <w:t>Executive Summary</w:t>
      </w:r>
    </w:p>
    <w:p>
      <w:r>
        <w:t>Alexandria residents who park on the street can potentially reach low-cost residential electricity through several cross-curb technologies. The practical choices are not equivalent. Removable cable ramps are the lowest-cost near-term option. Recessed cable channels, sometimes called gullies, appear to be the strongest permanent infrastructure option because they sit flush with the walking surface and avoid a recurring surface ramp. Overhead arms avoid sidewalk excavation but introduce structural, visual, clearance, and maintenance issues. Ultra-flat charging cables are promising but the principal U.S. product identified in this research is still awaiting UL, CSA, and ETL certification.</w:t>
      </w:r>
    </w:p>
    <w:p>
      <w:r>
        <w:t>The central cost question for a recessed channel is not the amount of concrete removed. A typical Alexandria pedestrian sidewalk is only about 4 inches thick, and the relevant crossing is commonly only 3 to 4 feet long. The cost is likely to be dominated by contractor mobilization, saw cutting, careful restoration, permitting, inspection, and product hardware rather than by concrete volume.</w:t>
      </w:r>
    </w:p>
    <w:p>
      <w:r>
        <w:t>Alexandria's current excavation rules provide a useful local starting point. Work in the public sidewalk requires T&amp;ES approval; an excavation permit is currently $250 per city block, utility-location and inspection procedures apply, and excavation permits require performance and maintenance security. These requirements are written for general excavation work and may be disproportionate for a narrow residential EV channel. A dedicated permit could simplify the process while retaining inspection and restoration standards.</w:t>
      </w:r>
    </w:p>
    <w:p>
      <w:r>
        <w:t>Using local permit costs, Alexandria sidewalk standards, published cross-pavement channel pricing, and the user's local comparison that a permitted curb cut costs about $3,000 through the City contractor, this paper proposes a provisional planning range of roughly $1,250 to $2,250 for a simple recessed cross-curb channel installation in ordinary concrete sidewalk, excluding the home EVSE. A central planning value of about $1,750 is reasonable for modeling, but it is not a contractor quote. Alexandria-specific bids or a small pilot are needed to replace this estimate.</w:t>
      </w:r>
    </w:p>
    <w:p>
      <w:pPr>
        <w:pStyle w:val="Heading2"/>
      </w:pPr>
      <w:r>
        <w:t>Preliminary Cost Comparison</w:t>
      </w:r>
    </w:p>
    <w:tbl>
      <w:tblPr>
        <w:tblStyle w:val="TableGrid"/>
        <w:tblW w:type="auto" w:w="0"/>
        <w:jc w:val="center"/>
        <w:tblLook w:firstColumn="1" w:firstRow="1" w:lastColumn="0" w:lastRow="0" w:noHBand="0" w:noVBand="1" w:val="04A0"/>
      </w:tblPr>
      <w:tblGrid>
        <w:gridCol w:w="2016"/>
        <w:gridCol w:w="2016"/>
        <w:gridCol w:w="2016"/>
        <w:gridCol w:w="2016"/>
        <w:gridCol w:w="2016"/>
      </w:tblGrid>
      <w:tr>
        <w:trPr>
          <w:cantSplit/>
        </w:trPr>
        <w:tc>
          <w:tcPr>
            <w:tcW w:type="dxa" w:w="2016"/>
            <w:shd w:fill="D9EAF7"/>
            <w:vAlign w:val="center"/>
          </w:tcPr>
          <w:p>
            <w:r>
              <w:rPr>
                <w:b/>
                <w:sz w:val="17"/>
              </w:rPr>
              <w:t>Option</w:t>
            </w:r>
          </w:p>
        </w:tc>
        <w:tc>
          <w:tcPr>
            <w:tcW w:type="dxa" w:w="2016"/>
            <w:shd w:fill="D9EAF7"/>
            <w:vAlign w:val="center"/>
          </w:tcPr>
          <w:p>
            <w:r>
              <w:rPr>
                <w:b/>
                <w:sz w:val="17"/>
              </w:rPr>
              <w:t>Crossing-only startup cost</w:t>
            </w:r>
          </w:p>
        </w:tc>
        <w:tc>
          <w:tcPr>
            <w:tcW w:type="dxa" w:w="2016"/>
            <w:shd w:fill="D9EAF7"/>
            <w:vAlign w:val="center"/>
          </w:tcPr>
          <w:p>
            <w:r>
              <w:rPr>
                <w:b/>
                <w:sz w:val="17"/>
              </w:rPr>
              <w:t>Recurring cost</w:t>
            </w:r>
          </w:p>
        </w:tc>
        <w:tc>
          <w:tcPr>
            <w:tcW w:type="dxa" w:w="2016"/>
            <w:shd w:fill="D9EAF7"/>
            <w:vAlign w:val="center"/>
          </w:tcPr>
          <w:p>
            <w:r>
              <w:rPr>
                <w:b/>
                <w:sz w:val="17"/>
              </w:rPr>
              <w:t>Current readiness</w:t>
            </w:r>
          </w:p>
        </w:tc>
        <w:tc>
          <w:tcPr>
            <w:tcW w:type="dxa" w:w="2016"/>
            <w:shd w:fill="D9EAF7"/>
            <w:vAlign w:val="center"/>
          </w:tcPr>
          <w:p>
            <w:r>
              <w:rPr>
                <w:b/>
                <w:sz w:val="17"/>
              </w:rPr>
              <w:t>Working assessment</w:t>
            </w:r>
          </w:p>
        </w:tc>
      </w:tr>
      <w:tr>
        <w:trPr>
          <w:cantSplit/>
        </w:trPr>
        <w:tc>
          <w:tcPr>
            <w:tcW w:type="dxa" w:w="2016"/>
            <w:vAlign w:val="center"/>
          </w:tcPr>
          <w:p>
            <w:r>
              <w:rPr>
                <w:sz w:val="17"/>
              </w:rPr>
              <w:t>Removable ramp / cable cover</w:t>
            </w:r>
          </w:p>
        </w:tc>
        <w:tc>
          <w:tcPr>
            <w:tcW w:type="dxa" w:w="2016"/>
            <w:vAlign w:val="center"/>
          </w:tcPr>
          <w:p>
            <w:r>
              <w:rPr>
                <w:sz w:val="17"/>
              </w:rPr>
              <w:t>~$300 device; permit/insurance may add cost</w:t>
            </w:r>
          </w:p>
        </w:tc>
        <w:tc>
          <w:tcPr>
            <w:tcW w:type="dxa" w:w="2016"/>
            <w:vAlign w:val="center"/>
          </w:tcPr>
          <w:p>
            <w:r>
              <w:rPr>
                <w:sz w:val="17"/>
              </w:rPr>
              <w:t>Possible permit or insurance renewal</w:t>
            </w:r>
          </w:p>
        </w:tc>
        <w:tc>
          <w:tcPr>
            <w:tcW w:type="dxa" w:w="2016"/>
            <w:vAlign w:val="center"/>
          </w:tcPr>
          <w:p>
            <w:r>
              <w:rPr>
                <w:sz w:val="17"/>
              </w:rPr>
              <w:t>Available now</w:t>
            </w:r>
          </w:p>
        </w:tc>
        <w:tc>
          <w:tcPr>
            <w:tcW w:type="dxa" w:w="2016"/>
            <w:vAlign w:val="center"/>
          </w:tcPr>
          <w:p>
            <w:r>
              <w:rPr>
                <w:sz w:val="17"/>
              </w:rPr>
              <w:t>Best low-cost near-term option</w:t>
            </w:r>
          </w:p>
        </w:tc>
      </w:tr>
      <w:tr>
        <w:trPr>
          <w:cantSplit/>
        </w:trPr>
        <w:tc>
          <w:tcPr>
            <w:tcW w:type="dxa" w:w="2016"/>
            <w:vAlign w:val="center"/>
          </w:tcPr>
          <w:p>
            <w:r>
              <w:rPr>
                <w:sz w:val="17"/>
              </w:rPr>
              <w:t>Recessed channel / gully</w:t>
            </w:r>
          </w:p>
        </w:tc>
        <w:tc>
          <w:tcPr>
            <w:tcW w:type="dxa" w:w="2016"/>
            <w:vAlign w:val="center"/>
          </w:tcPr>
          <w:p>
            <w:r>
              <w:rPr>
                <w:sz w:val="17"/>
              </w:rPr>
              <w:t>~$1,250-$2,250; central ~$1,750</w:t>
            </w:r>
          </w:p>
        </w:tc>
        <w:tc>
          <w:tcPr>
            <w:tcW w:type="dxa" w:w="2016"/>
            <w:vAlign w:val="center"/>
          </w:tcPr>
          <w:p>
            <w:r>
              <w:rPr>
                <w:sz w:val="17"/>
              </w:rPr>
              <w:t>Inspection/maintenance policy dependent</w:t>
            </w:r>
          </w:p>
        </w:tc>
        <w:tc>
          <w:tcPr>
            <w:tcW w:type="dxa" w:w="2016"/>
            <w:vAlign w:val="center"/>
          </w:tcPr>
          <w:p>
            <w:r>
              <w:rPr>
                <w:sz w:val="17"/>
              </w:rPr>
              <w:t>Mature overseas; U.S. approval pathway needed</w:t>
            </w:r>
          </w:p>
        </w:tc>
        <w:tc>
          <w:tcPr>
            <w:tcW w:type="dxa" w:w="2016"/>
            <w:vAlign w:val="center"/>
          </w:tcPr>
          <w:p>
            <w:r>
              <w:rPr>
                <w:sz w:val="17"/>
              </w:rPr>
              <w:t>Best permanent infrastructure option</w:t>
            </w:r>
          </w:p>
        </w:tc>
      </w:tr>
      <w:tr>
        <w:trPr>
          <w:cantSplit/>
        </w:trPr>
        <w:tc>
          <w:tcPr>
            <w:tcW w:type="dxa" w:w="2016"/>
            <w:vAlign w:val="center"/>
          </w:tcPr>
          <w:p>
            <w:r>
              <w:rPr>
                <w:sz w:val="17"/>
              </w:rPr>
              <w:t>Overhead arm</w:t>
            </w:r>
          </w:p>
        </w:tc>
        <w:tc>
          <w:tcPr>
            <w:tcW w:type="dxa" w:w="2016"/>
            <w:vAlign w:val="center"/>
          </w:tcPr>
          <w:p>
            <w:r>
              <w:rPr>
                <w:sz w:val="17"/>
              </w:rPr>
              <w:t>Highly site-specific; basic cable arms can be a few hundred dollars, robust ROW system uncertain</w:t>
            </w:r>
          </w:p>
        </w:tc>
        <w:tc>
          <w:tcPr>
            <w:tcW w:type="dxa" w:w="2016"/>
            <w:vAlign w:val="center"/>
          </w:tcPr>
          <w:p>
            <w:r>
              <w:rPr>
                <w:sz w:val="17"/>
              </w:rPr>
              <w:t>Moving parts / inspection / maintenance</w:t>
            </w:r>
          </w:p>
        </w:tc>
        <w:tc>
          <w:tcPr>
            <w:tcW w:type="dxa" w:w="2016"/>
            <w:vAlign w:val="center"/>
          </w:tcPr>
          <w:p>
            <w:r>
              <w:rPr>
                <w:sz w:val="17"/>
              </w:rPr>
              <w:t>Products exist, little standardized municipal practice</w:t>
            </w:r>
          </w:p>
        </w:tc>
        <w:tc>
          <w:tcPr>
            <w:tcW w:type="dxa" w:w="2016"/>
            <w:vAlign w:val="center"/>
          </w:tcPr>
          <w:p>
            <w:r>
              <w:rPr>
                <w:sz w:val="17"/>
              </w:rPr>
              <w:t>Generally inferior default</w:t>
            </w:r>
          </w:p>
        </w:tc>
      </w:tr>
      <w:tr>
        <w:trPr>
          <w:cantSplit/>
        </w:trPr>
        <w:tc>
          <w:tcPr>
            <w:tcW w:type="dxa" w:w="2016"/>
            <w:vAlign w:val="center"/>
          </w:tcPr>
          <w:p>
            <w:r>
              <w:rPr>
                <w:sz w:val="17"/>
              </w:rPr>
              <w:t>Ultra-flat charging cable</w:t>
            </w:r>
          </w:p>
        </w:tc>
        <w:tc>
          <w:tcPr>
            <w:tcW w:type="dxa" w:w="2016"/>
            <w:vAlign w:val="center"/>
          </w:tcPr>
          <w:p>
            <w:r>
              <w:rPr>
                <w:sz w:val="17"/>
              </w:rPr>
              <w:t>~$399 extension or ~$599 portable product</w:t>
            </w:r>
          </w:p>
        </w:tc>
        <w:tc>
          <w:tcPr>
            <w:tcW w:type="dxa" w:w="2016"/>
            <w:vAlign w:val="center"/>
          </w:tcPr>
          <w:p>
            <w:r>
              <w:rPr>
                <w:sz w:val="17"/>
              </w:rPr>
              <w:t>None beyond normal cable replacement</w:t>
            </w:r>
          </w:p>
        </w:tc>
        <w:tc>
          <w:tcPr>
            <w:tcW w:type="dxa" w:w="2016"/>
            <w:vAlign w:val="center"/>
          </w:tcPr>
          <w:p>
            <w:r>
              <w:rPr>
                <w:sz w:val="17"/>
              </w:rPr>
              <w:t>U.S. certification pending for identified product</w:t>
            </w:r>
          </w:p>
        </w:tc>
        <w:tc>
          <w:tcPr>
            <w:tcW w:type="dxa" w:w="2016"/>
            <w:vAlign w:val="center"/>
          </w:tcPr>
          <w:p>
            <w:r>
              <w:rPr>
                <w:sz w:val="17"/>
              </w:rPr>
              <w:t>Promising future option, not policy baseline</w:t>
            </w:r>
          </w:p>
        </w:tc>
      </w:tr>
    </w:tbl>
    <w:p/>
    <w:p>
      <w:pPr>
        <w:pStyle w:val="Heading1"/>
      </w:pPr>
      <w:r>
        <w:t>1. Scope</w:t>
      </w:r>
    </w:p>
    <w:p>
      <w:r>
        <w:t>This paper addresses only the physical method of moving charging power from a residence to a curbside vehicle across a public sidewalk or similar right-of-way. It does not repeat the broader household-cost, charging-time, EV-adoption, or vehicle-lock-in analysis in the companion paper, The Cost of Waiting. It also separates the crossing cost from the cost of the home charging equipment itself.</w:t>
      </w:r>
    </w:p>
    <w:p>
      <w:r>
        <w:t>A resident still needs a suitable electrical circuit and EVSE. The companion Alexandria model used $1,500 as a working installed-home-charger cost. National 2026 consumer estimates place ordinary home Level 2 installation in roughly the $554-$1,380 range on average, with higher costs when long circuit runs or panel upgrades are required. The crossing technology is therefore an additional site-specific cost, not the entire home-charging project.</w:t>
      </w:r>
    </w:p>
    <w:p>
      <w:pPr>
        <w:pStyle w:val="Heading1"/>
      </w:pPr>
      <w:r>
        <w:t>2. Alexandria Right-of-Way Baseline</w:t>
      </w:r>
    </w:p>
    <w:p>
      <w:r>
        <w:t>Alexandria states that any work in or use of the public right-of-way, including the sidewalk and excavation, requires a Transportation &amp; Environmental Services permit. For excavation, applicants must provide a drawing, use Miss Utility and City utility-location procedures before digging, obtain daily control numbers while work is underway, and request inspection after completion. The City's current published excavation fee is $250 per city block.</w:t>
      </w:r>
    </w:p>
    <w:p>
      <w:r>
        <w:t>The general excavation rules also require performance/payment and maintenance security. The City's current guidance states a minimum $1,000 performance/payment bond and a minimum $1,000 maintenance bond for excavation permits, with a combined bond permitted for a single location. These are security requirements rather than necessarily permanent project expenditures: a cash security can be returned after satisfactory inspection, while surety bonding would create a smaller premium/administrative cost.</w:t>
      </w:r>
    </w:p>
    <w:p>
      <w:r>
        <w:t>This matters for EV channels because the existing excavation framework is designed for a broad range of utility and construction work. A three- or four-foot narrow saw cut in a residential sidewalk is materially different from a utility trench or roadway excavation. A dedicated cross-curb permit could retain utility marking, restoration, and final inspection while reducing procedural overhead.</w:t>
      </w:r>
    </w:p>
    <w:p>
      <w:pPr>
        <w:pStyle w:val="Heading1"/>
      </w:pPr>
      <w:r>
        <w:t>3. Sidewalk Construction and Why the Job Is Small</w:t>
      </w:r>
    </w:p>
    <w:p>
      <w:r>
        <w:t>Alexandria's standard sidewalk details use 4-inch concrete in pedestrian-only areas and 6-inch concrete in driveways or other traffic areas. Standard sidewalk joints are typically spaced at 5-foot centers. For a residential charging channel crossing a normal sidewalk, the intervention is therefore shallow and short compared with most drainage trench installations.</w:t>
      </w:r>
    </w:p>
    <w:p>
      <w:r>
        <w:t>This is why ordinary trench-drain cost-per-linear-foot comparisons are weak. Commercial trench drains are commonly installed for many linear feet along garages, driveways, building edges, or loading areas. A cross-pavement EV channel instead involves only one short crossing. Unit-price arithmetic would understate the role of mobilization and overstate the role of material quantity.</w:t>
      </w:r>
    </w:p>
    <w:p>
      <w:pPr>
        <w:pStyle w:val="Heading1"/>
      </w:pPr>
      <w:r>
        <w:t>4. Recessed Cable Channel / Gully</w:t>
      </w:r>
    </w:p>
    <w:p>
      <w:r>
        <w:t>National guidance in the United Kingdom identifies embedded cable channels or gullies as the most common cross-pavement solution currently in use. The channel is cut into the pavement, the cable is inserted only while charging, and the top surface remains substantially flush. The guidance emphasizes local-authority approval, utility conflicts, accessibility, maintenance responsibility, and inspection.</w:t>
      </w:r>
    </w:p>
    <w:p>
      <w:r>
        <w:t>Published installations provide useful labor and hardware benchmarks even though they are not directly transferable to Alexandria. Kerbo Charge lists supply-only units beginning around GBP 379 ex VAT and a 3-meter channel at GBP 449. Installed programs commonly fall around GBP 999 to GBP 1,650, and London Councils reports typical installation time of approximately 1.5 to 3 hours with costs of roughly GBP 1,000 to GBP 1,500. These figures include different combinations of hardware, survey, license, contractor, and maintenance costs depending on the local authority.</w:t>
      </w:r>
    </w:p>
    <w:p>
      <w:pPr>
        <w:pStyle w:val="Heading2"/>
      </w:pPr>
      <w:r>
        <w:t>4.1 Preliminary Alexandria cost build-up</w:t>
      </w:r>
    </w:p>
    <w:tbl>
      <w:tblPr>
        <w:tblStyle w:val="TableGrid"/>
        <w:tblW w:type="auto" w:w="0"/>
        <w:jc w:val="center"/>
        <w:tblLook w:firstColumn="1" w:firstRow="1" w:lastColumn="0" w:lastRow="0" w:noHBand="0" w:noVBand="1" w:val="04A0"/>
      </w:tblPr>
      <w:tblGrid>
        <w:gridCol w:w="2016"/>
        <w:gridCol w:w="2016"/>
        <w:gridCol w:w="2016"/>
        <w:gridCol w:w="2016"/>
        <w:gridCol w:w="2016"/>
      </w:tblGrid>
      <w:tr>
        <w:trPr>
          <w:cantSplit/>
        </w:trPr>
        <w:tc>
          <w:tcPr>
            <w:tcW w:type="dxa" w:w="2016"/>
            <w:shd w:fill="D9EAF7"/>
            <w:vAlign w:val="center"/>
          </w:tcPr>
          <w:p>
            <w:r>
              <w:rPr>
                <w:b/>
                <w:sz w:val="17"/>
              </w:rPr>
              <w:t>Component</w:t>
            </w:r>
          </w:p>
        </w:tc>
        <w:tc>
          <w:tcPr>
            <w:tcW w:type="dxa" w:w="2016"/>
            <w:shd w:fill="D9EAF7"/>
            <w:vAlign w:val="center"/>
          </w:tcPr>
          <w:p>
            <w:r>
              <w:rPr>
                <w:b/>
                <w:sz w:val="17"/>
              </w:rPr>
              <w:t>Low</w:t>
            </w:r>
          </w:p>
        </w:tc>
        <w:tc>
          <w:tcPr>
            <w:tcW w:type="dxa" w:w="2016"/>
            <w:shd w:fill="D9EAF7"/>
            <w:vAlign w:val="center"/>
          </w:tcPr>
          <w:p>
            <w:r>
              <w:rPr>
                <w:b/>
                <w:sz w:val="17"/>
              </w:rPr>
              <w:t>Central</w:t>
            </w:r>
          </w:p>
        </w:tc>
        <w:tc>
          <w:tcPr>
            <w:tcW w:type="dxa" w:w="2016"/>
            <w:shd w:fill="D9EAF7"/>
            <w:vAlign w:val="center"/>
          </w:tcPr>
          <w:p>
            <w:r>
              <w:rPr>
                <w:b/>
                <w:sz w:val="17"/>
              </w:rPr>
              <w:t>High</w:t>
            </w:r>
          </w:p>
        </w:tc>
        <w:tc>
          <w:tcPr>
            <w:tcW w:type="dxa" w:w="2016"/>
            <w:shd w:fill="D9EAF7"/>
            <w:vAlign w:val="center"/>
          </w:tcPr>
          <w:p>
            <w:r>
              <w:rPr>
                <w:b/>
                <w:sz w:val="17"/>
              </w:rPr>
              <w:t>Basis / caveat</w:t>
            </w:r>
          </w:p>
        </w:tc>
      </w:tr>
      <w:tr>
        <w:trPr>
          <w:cantSplit/>
        </w:trPr>
        <w:tc>
          <w:tcPr>
            <w:tcW w:type="dxa" w:w="2016"/>
            <w:vAlign w:val="center"/>
          </w:tcPr>
          <w:p>
            <w:r>
              <w:rPr>
                <w:sz w:val="17"/>
              </w:rPr>
              <w:t>Channel hardware / specialty materials</w:t>
            </w:r>
          </w:p>
        </w:tc>
        <w:tc>
          <w:tcPr>
            <w:tcW w:type="dxa" w:w="2016"/>
            <w:vAlign w:val="center"/>
          </w:tcPr>
          <w:p>
            <w:r>
              <w:rPr>
                <w:sz w:val="17"/>
              </w:rPr>
              <w:t>$500</w:t>
            </w:r>
          </w:p>
        </w:tc>
        <w:tc>
          <w:tcPr>
            <w:tcW w:type="dxa" w:w="2016"/>
            <w:vAlign w:val="center"/>
          </w:tcPr>
          <w:p>
            <w:r>
              <w:rPr>
                <w:sz w:val="17"/>
              </w:rPr>
              <w:t>$650</w:t>
            </w:r>
          </w:p>
        </w:tc>
        <w:tc>
          <w:tcPr>
            <w:tcW w:type="dxa" w:w="2016"/>
            <w:vAlign w:val="center"/>
          </w:tcPr>
          <w:p>
            <w:r>
              <w:rPr>
                <w:sz w:val="17"/>
              </w:rPr>
              <w:t>$850</w:t>
            </w:r>
          </w:p>
        </w:tc>
        <w:tc>
          <w:tcPr>
            <w:tcW w:type="dxa" w:w="2016"/>
            <w:vAlign w:val="center"/>
          </w:tcPr>
          <w:p>
            <w:r>
              <w:rPr>
                <w:sz w:val="17"/>
              </w:rPr>
              <w:t>Planning allowance informed by published UK supply-only pricing; not a U.S. quote</w:t>
            </w:r>
          </w:p>
        </w:tc>
      </w:tr>
      <w:tr>
        <w:trPr>
          <w:cantSplit/>
        </w:trPr>
        <w:tc>
          <w:tcPr>
            <w:tcW w:type="dxa" w:w="2016"/>
            <w:vAlign w:val="center"/>
          </w:tcPr>
          <w:p>
            <w:r>
              <w:rPr>
                <w:sz w:val="17"/>
              </w:rPr>
              <w:t>Saw cut, excavation, bedding, installation, restoration</w:t>
            </w:r>
          </w:p>
        </w:tc>
        <w:tc>
          <w:tcPr>
            <w:tcW w:type="dxa" w:w="2016"/>
            <w:vAlign w:val="center"/>
          </w:tcPr>
          <w:p>
            <w:r>
              <w:rPr>
                <w:sz w:val="17"/>
              </w:rPr>
              <w:t>$450</w:t>
            </w:r>
          </w:p>
        </w:tc>
        <w:tc>
          <w:tcPr>
            <w:tcW w:type="dxa" w:w="2016"/>
            <w:vAlign w:val="center"/>
          </w:tcPr>
          <w:p>
            <w:r>
              <w:rPr>
                <w:sz w:val="17"/>
              </w:rPr>
              <w:t>$700</w:t>
            </w:r>
          </w:p>
        </w:tc>
        <w:tc>
          <w:tcPr>
            <w:tcW w:type="dxa" w:w="2016"/>
            <w:vAlign w:val="center"/>
          </w:tcPr>
          <w:p>
            <w:r>
              <w:rPr>
                <w:sz w:val="17"/>
              </w:rPr>
              <w:t>$1,000</w:t>
            </w:r>
          </w:p>
        </w:tc>
        <w:tc>
          <w:tcPr>
            <w:tcW w:type="dxa" w:w="2016"/>
            <w:vAlign w:val="center"/>
          </w:tcPr>
          <w:p>
            <w:r>
              <w:rPr>
                <w:sz w:val="17"/>
              </w:rPr>
              <w:t>Small concrete job; mobilization likely dominates; no Alexandria contractor quote yet</w:t>
            </w:r>
          </w:p>
        </w:tc>
      </w:tr>
      <w:tr>
        <w:trPr>
          <w:cantSplit/>
        </w:trPr>
        <w:tc>
          <w:tcPr>
            <w:tcW w:type="dxa" w:w="2016"/>
            <w:vAlign w:val="center"/>
          </w:tcPr>
          <w:p>
            <w:r>
              <w:rPr>
                <w:sz w:val="17"/>
              </w:rPr>
              <w:t>T&amp;ES excavation permit</w:t>
            </w:r>
          </w:p>
        </w:tc>
        <w:tc>
          <w:tcPr>
            <w:tcW w:type="dxa" w:w="2016"/>
            <w:vAlign w:val="center"/>
          </w:tcPr>
          <w:p>
            <w:r>
              <w:rPr>
                <w:sz w:val="17"/>
              </w:rPr>
              <w:t>$250</w:t>
            </w:r>
          </w:p>
        </w:tc>
        <w:tc>
          <w:tcPr>
            <w:tcW w:type="dxa" w:w="2016"/>
            <w:vAlign w:val="center"/>
          </w:tcPr>
          <w:p>
            <w:r>
              <w:rPr>
                <w:sz w:val="17"/>
              </w:rPr>
              <w:t>$250</w:t>
            </w:r>
          </w:p>
        </w:tc>
        <w:tc>
          <w:tcPr>
            <w:tcW w:type="dxa" w:w="2016"/>
            <w:vAlign w:val="center"/>
          </w:tcPr>
          <w:p>
            <w:r>
              <w:rPr>
                <w:sz w:val="17"/>
              </w:rPr>
              <w:t>$250</w:t>
            </w:r>
          </w:p>
        </w:tc>
        <w:tc>
          <w:tcPr>
            <w:tcW w:type="dxa" w:w="2016"/>
            <w:vAlign w:val="center"/>
          </w:tcPr>
          <w:p>
            <w:r>
              <w:rPr>
                <w:sz w:val="17"/>
              </w:rPr>
              <w:t>Current published fee per city block</w:t>
            </w:r>
          </w:p>
        </w:tc>
      </w:tr>
      <w:tr>
        <w:trPr>
          <w:cantSplit/>
        </w:trPr>
        <w:tc>
          <w:tcPr>
            <w:tcW w:type="dxa" w:w="2016"/>
            <w:vAlign w:val="center"/>
          </w:tcPr>
          <w:p>
            <w:r>
              <w:rPr>
                <w:sz w:val="17"/>
              </w:rPr>
              <w:t>Drawing / minor MOT / admin allowance</w:t>
            </w:r>
          </w:p>
        </w:tc>
        <w:tc>
          <w:tcPr>
            <w:tcW w:type="dxa" w:w="2016"/>
            <w:vAlign w:val="center"/>
          </w:tcPr>
          <w:p>
            <w:r>
              <w:rPr>
                <w:sz w:val="17"/>
              </w:rPr>
              <w:t>$50</w:t>
            </w:r>
          </w:p>
        </w:tc>
        <w:tc>
          <w:tcPr>
            <w:tcW w:type="dxa" w:w="2016"/>
            <w:vAlign w:val="center"/>
          </w:tcPr>
          <w:p>
            <w:r>
              <w:rPr>
                <w:sz w:val="17"/>
              </w:rPr>
              <w:t>$100</w:t>
            </w:r>
          </w:p>
        </w:tc>
        <w:tc>
          <w:tcPr>
            <w:tcW w:type="dxa" w:w="2016"/>
            <w:vAlign w:val="center"/>
          </w:tcPr>
          <w:p>
            <w:r>
              <w:rPr>
                <w:sz w:val="17"/>
              </w:rPr>
              <w:t>$150</w:t>
            </w:r>
          </w:p>
        </w:tc>
        <w:tc>
          <w:tcPr>
            <w:tcW w:type="dxa" w:w="2016"/>
            <w:vAlign w:val="center"/>
          </w:tcPr>
          <w:p>
            <w:r>
              <w:rPr>
                <w:sz w:val="17"/>
              </w:rPr>
              <w:t>Policy-dependent planning allowance</w:t>
            </w:r>
          </w:p>
        </w:tc>
      </w:tr>
      <w:tr>
        <w:trPr>
          <w:cantSplit/>
        </w:trPr>
        <w:tc>
          <w:tcPr>
            <w:tcW w:type="dxa" w:w="2016"/>
            <w:vAlign w:val="center"/>
          </w:tcPr>
          <w:p>
            <w:r>
              <w:rPr>
                <w:sz w:val="17"/>
              </w:rPr>
              <w:t>Estimated crossing-only total</w:t>
            </w:r>
          </w:p>
        </w:tc>
        <w:tc>
          <w:tcPr>
            <w:tcW w:type="dxa" w:w="2016"/>
            <w:vAlign w:val="center"/>
          </w:tcPr>
          <w:p>
            <w:r>
              <w:rPr>
                <w:sz w:val="17"/>
              </w:rPr>
              <w:t>$1,250</w:t>
            </w:r>
          </w:p>
        </w:tc>
        <w:tc>
          <w:tcPr>
            <w:tcW w:type="dxa" w:w="2016"/>
            <w:vAlign w:val="center"/>
          </w:tcPr>
          <w:p>
            <w:r>
              <w:rPr>
                <w:sz w:val="17"/>
              </w:rPr>
              <w:t>$1,700</w:t>
            </w:r>
          </w:p>
        </w:tc>
        <w:tc>
          <w:tcPr>
            <w:tcW w:type="dxa" w:w="2016"/>
            <w:vAlign w:val="center"/>
          </w:tcPr>
          <w:p>
            <w:r>
              <w:rPr>
                <w:sz w:val="17"/>
              </w:rPr>
              <w:t>$2,250</w:t>
            </w:r>
          </w:p>
        </w:tc>
        <w:tc>
          <w:tcPr>
            <w:tcW w:type="dxa" w:w="2016"/>
            <w:vAlign w:val="center"/>
          </w:tcPr>
          <w:p>
            <w:r>
              <w:rPr>
                <w:sz w:val="17"/>
              </w:rPr>
              <w:t>Excludes EVSE and any unusual utility conflict</w:t>
            </w:r>
          </w:p>
        </w:tc>
      </w:tr>
    </w:tbl>
    <w:p/>
    <w:p>
      <w:r>
        <w:t>For modeling, this paper rounds the central value to approximately $1,750. The range should be treated as a planning estimate rather than a bid. It assumes ordinary concrete sidewalk, no major utility conflict, no historic-material restoration, no tree-root conflict, and no electrical panel or service work.</w:t>
      </w:r>
    </w:p>
    <w:p>
      <w:r>
        <w:t>A useful local reasonableness check is the user's reported Alexandria price of approximately $3,000 for a permitted curb cut installed by the City contractor. A cable channel should ordinarily require less physical work because it does not reconstruct a curb and gutter transition or create a vehicular apron. The savings will not be proportional to the smaller concrete quantity, however, because contractor mobilization, traffic/pedestrian protection, inspection, and administrative costs remain.</w:t>
      </w:r>
    </w:p>
    <w:p>
      <w:pPr>
        <w:pStyle w:val="Heading2"/>
      </w:pPr>
      <w:r>
        <w:t>4.2 What could make an Alexandria channel more expensive?</w:t>
      </w:r>
    </w:p>
    <w:p>
      <w:pPr>
        <w:pStyle w:val="ListBullet"/>
      </w:pPr>
      <w:r>
        <w:t>Brick or historic sidewalk materials requiring careful removal and reinstatement.</w:t>
      </w:r>
    </w:p>
    <w:p>
      <w:pPr>
        <w:pStyle w:val="ListBullet"/>
      </w:pPr>
      <w:r>
        <w:t>Underground electrical, telecom, water, sewer, traffic-control, or other utility conflicts.</w:t>
      </w:r>
    </w:p>
    <w:p>
      <w:pPr>
        <w:pStyle w:val="ListBullet"/>
      </w:pPr>
      <w:r>
        <w:t>Tree roots or constrained planting strips.</w:t>
      </w:r>
    </w:p>
    <w:p>
      <w:pPr>
        <w:pStyle w:val="ListBullet"/>
      </w:pPr>
      <w:r>
        <w:t>A requirement to replace an entire sidewalk panel rather than patch narrowly around the channel.</w:t>
      </w:r>
    </w:p>
    <w:p>
      <w:pPr>
        <w:pStyle w:val="ListBullet"/>
      </w:pPr>
      <w:r>
        <w:t>A City-required proprietary product, contractor qualification, engineering detail, or special inspection.</w:t>
      </w:r>
    </w:p>
    <w:p>
      <w:pPr>
        <w:pStyle w:val="ListBullet"/>
      </w:pPr>
      <w:r>
        <w:t>Separate sidewalk-closure or maintenance-of-traffic requirements.</w:t>
      </w:r>
    </w:p>
    <w:p>
      <w:pPr>
        <w:pStyle w:val="ListBullet"/>
      </w:pPr>
      <w:r>
        <w:t>Annual licensing, inspection, or liability-insurance requirements.</w:t>
      </w:r>
    </w:p>
    <w:p>
      <w:pPr>
        <w:pStyle w:val="Heading1"/>
      </w:pPr>
      <w:r>
        <w:t>5. Removable Cable Ramp / Cover</w:t>
      </w:r>
    </w:p>
    <w:p>
      <w:r>
        <w:t>The removable ramp remains the least expensive deployable option. The existing Alexandria modeling uses $300 for a purpose-built crossing device. It requires no saw cutting and can be removed when charging is complete. The principal policy questions are therefore accessibility, maximum slope/profile, placement, maintenance, and whether a temporary or administrative encroachment permit is required.</w:t>
      </w:r>
    </w:p>
    <w:p>
      <w:r>
        <w:t>For a resident who already has an EVSE, the ramp can keep the incremental infrastructure cost in the hundreds rather than thousands of dollars. This makes it useful both as a permanent low-cost option where a compliant device is acceptable and as an interim option while a recessed-channel program is developed.</w:t>
      </w:r>
    </w:p>
    <w:p>
      <w:pPr>
        <w:pStyle w:val="Heading1"/>
      </w:pPr>
      <w:r>
        <w:t>6. Overhead Cable Arms</w:t>
      </w:r>
    </w:p>
    <w:p>
      <w:r>
        <w:t>Overhead systems route the cable above the pedestrian path rather than across or through it. A simple U.S. wall-mounted EV cable arm currently retails around $299, while more purpose-built European systems such as ChargeArm use metal structural arms with roughly 7.5 feet of reach. Public pricing for robust street-crossing systems remains sparse.</w:t>
      </w:r>
    </w:p>
    <w:p>
      <w:r>
        <w:t>The low price of a garage cable-management arm should not be mistaken for the installed cost of an approved public-right-of-way structure. An Alexandria installation could require structural anchoring, building-owner approval, clearance controls, wind and impact considerations, electrical grounding, architectural or historic review, and ongoing inspection. The device also creates a visible moving projection over public space. For those reasons, this paper does not assign a central Alexandria cost and does not recommend overhead arms as the default policy solution.</w:t>
      </w:r>
    </w:p>
    <w:p>
      <w:pPr>
        <w:pStyle w:val="Heading1"/>
      </w:pPr>
      <w:r>
        <w:t>7. Ultra-Flat Charging Cables</w:t>
      </w:r>
    </w:p>
    <w:p>
      <w:r>
        <w:t>Flat cables could eventually eliminate most crossing infrastructure. The U.S. Ghost product currently lists a flat extension cable at $399 and a portable charging cable at $599. Its published geometry is approximately 0.556 cm high and 7 cm wide.</w:t>
      </w:r>
    </w:p>
    <w:p>
      <w:r>
        <w:t>The certification issue is decisive. Ghost states that UL, CSA, and ETL certification is still underway and describes the product as an early release. UL 2263 is the active North American standard covering electric-vehicle charging cables. Until a product intended for this use has an appropriate recognized certification and the City is satisfied with pedestrian, electrical, and right-of-way safety, a flat cable should be treated as a future option rather than the basis for Alexandria policy.</w:t>
      </w:r>
    </w:p>
    <w:p>
      <w:pPr>
        <w:pStyle w:val="Heading1"/>
      </w:pPr>
      <w:r>
        <w:t>8. Recommended Alexandria Cost Assumptions</w:t>
      </w:r>
    </w:p>
    <w:tbl>
      <w:tblPr>
        <w:tblStyle w:val="TableGrid"/>
        <w:tblW w:type="auto" w:w="0"/>
        <w:jc w:val="center"/>
        <w:tblLook w:firstColumn="1" w:firstRow="1" w:lastColumn="0" w:lastRow="0" w:noHBand="0" w:noVBand="1" w:val="04A0"/>
      </w:tblPr>
      <w:tblGrid>
        <w:gridCol w:w="2016"/>
        <w:gridCol w:w="2016"/>
        <w:gridCol w:w="2016"/>
        <w:gridCol w:w="2016"/>
        <w:gridCol w:w="2016"/>
      </w:tblGrid>
      <w:tr>
        <w:trPr>
          <w:cantSplit/>
        </w:trPr>
        <w:tc>
          <w:tcPr>
            <w:tcW w:type="dxa" w:w="2016"/>
            <w:shd w:fill="D9EAF7"/>
            <w:vAlign w:val="center"/>
          </w:tcPr>
          <w:p>
            <w:r>
              <w:rPr>
                <w:b/>
                <w:sz w:val="17"/>
              </w:rPr>
              <w:t>Model input</w:t>
            </w:r>
          </w:p>
        </w:tc>
        <w:tc>
          <w:tcPr>
            <w:tcW w:type="dxa" w:w="2016"/>
            <w:shd w:fill="D9EAF7"/>
            <w:vAlign w:val="center"/>
          </w:tcPr>
          <w:p>
            <w:r>
              <w:rPr>
                <w:b/>
                <w:sz w:val="17"/>
              </w:rPr>
              <w:t>Low</w:t>
            </w:r>
          </w:p>
        </w:tc>
        <w:tc>
          <w:tcPr>
            <w:tcW w:type="dxa" w:w="2016"/>
            <w:shd w:fill="D9EAF7"/>
            <w:vAlign w:val="center"/>
          </w:tcPr>
          <w:p>
            <w:r>
              <w:rPr>
                <w:b/>
                <w:sz w:val="17"/>
              </w:rPr>
              <w:t>Central</w:t>
            </w:r>
          </w:p>
        </w:tc>
        <w:tc>
          <w:tcPr>
            <w:tcW w:type="dxa" w:w="2016"/>
            <w:shd w:fill="D9EAF7"/>
            <w:vAlign w:val="center"/>
          </w:tcPr>
          <w:p>
            <w:r>
              <w:rPr>
                <w:b/>
                <w:sz w:val="17"/>
              </w:rPr>
              <w:t>High</w:t>
            </w:r>
          </w:p>
        </w:tc>
        <w:tc>
          <w:tcPr>
            <w:tcW w:type="dxa" w:w="2016"/>
            <w:shd w:fill="D9EAF7"/>
            <w:vAlign w:val="center"/>
          </w:tcPr>
          <w:p>
            <w:r>
              <w:rPr>
                <w:b/>
                <w:sz w:val="17"/>
              </w:rPr>
              <w:t>Use</w:t>
            </w:r>
          </w:p>
        </w:tc>
      </w:tr>
      <w:tr>
        <w:trPr>
          <w:cantSplit/>
        </w:trPr>
        <w:tc>
          <w:tcPr>
            <w:tcW w:type="dxa" w:w="2016"/>
            <w:vAlign w:val="center"/>
          </w:tcPr>
          <w:p>
            <w:r>
              <w:rPr>
                <w:sz w:val="17"/>
              </w:rPr>
              <w:t>Home EVSE installation</w:t>
            </w:r>
          </w:p>
        </w:tc>
        <w:tc>
          <w:tcPr>
            <w:tcW w:type="dxa" w:w="2016"/>
            <w:vAlign w:val="center"/>
          </w:tcPr>
          <w:p>
            <w:r>
              <w:rPr>
                <w:sz w:val="17"/>
              </w:rPr>
              <w:t>$750</w:t>
            </w:r>
          </w:p>
        </w:tc>
        <w:tc>
          <w:tcPr>
            <w:tcW w:type="dxa" w:w="2016"/>
            <w:vAlign w:val="center"/>
          </w:tcPr>
          <w:p>
            <w:r>
              <w:rPr>
                <w:sz w:val="17"/>
              </w:rPr>
              <w:t>$1,500</w:t>
            </w:r>
          </w:p>
        </w:tc>
        <w:tc>
          <w:tcPr>
            <w:tcW w:type="dxa" w:w="2016"/>
            <w:vAlign w:val="center"/>
          </w:tcPr>
          <w:p>
            <w:r>
              <w:rPr>
                <w:sz w:val="17"/>
              </w:rPr>
              <w:t>$2,500+</w:t>
            </w:r>
          </w:p>
        </w:tc>
        <w:tc>
          <w:tcPr>
            <w:tcW w:type="dxa" w:w="2016"/>
            <w:vAlign w:val="center"/>
          </w:tcPr>
          <w:p>
            <w:r>
              <w:rPr>
                <w:sz w:val="17"/>
              </w:rPr>
              <w:t>Common cost across cross-curb options; panel upgrades separate</w:t>
            </w:r>
          </w:p>
        </w:tc>
      </w:tr>
      <w:tr>
        <w:trPr>
          <w:cantSplit/>
        </w:trPr>
        <w:tc>
          <w:tcPr>
            <w:tcW w:type="dxa" w:w="2016"/>
            <w:vAlign w:val="center"/>
          </w:tcPr>
          <w:p>
            <w:r>
              <w:rPr>
                <w:sz w:val="17"/>
              </w:rPr>
              <w:t>Removable ramp / cover</w:t>
            </w:r>
          </w:p>
        </w:tc>
        <w:tc>
          <w:tcPr>
            <w:tcW w:type="dxa" w:w="2016"/>
            <w:vAlign w:val="center"/>
          </w:tcPr>
          <w:p>
            <w:r>
              <w:rPr>
                <w:sz w:val="17"/>
              </w:rPr>
              <w:t>$200</w:t>
            </w:r>
          </w:p>
        </w:tc>
        <w:tc>
          <w:tcPr>
            <w:tcW w:type="dxa" w:w="2016"/>
            <w:vAlign w:val="center"/>
          </w:tcPr>
          <w:p>
            <w:r>
              <w:rPr>
                <w:sz w:val="17"/>
              </w:rPr>
              <w:t>$300</w:t>
            </w:r>
          </w:p>
        </w:tc>
        <w:tc>
          <w:tcPr>
            <w:tcW w:type="dxa" w:w="2016"/>
            <w:vAlign w:val="center"/>
          </w:tcPr>
          <w:p>
            <w:r>
              <w:rPr>
                <w:sz w:val="17"/>
              </w:rPr>
              <w:t>$500</w:t>
            </w:r>
          </w:p>
        </w:tc>
        <w:tc>
          <w:tcPr>
            <w:tcW w:type="dxa" w:w="2016"/>
            <w:vAlign w:val="center"/>
          </w:tcPr>
          <w:p>
            <w:r>
              <w:rPr>
                <w:sz w:val="17"/>
              </w:rPr>
              <w:t>Immediate low-cost crossing</w:t>
            </w:r>
          </w:p>
        </w:tc>
      </w:tr>
      <w:tr>
        <w:trPr>
          <w:cantSplit/>
        </w:trPr>
        <w:tc>
          <w:tcPr>
            <w:tcW w:type="dxa" w:w="2016"/>
            <w:vAlign w:val="center"/>
          </w:tcPr>
          <w:p>
            <w:r>
              <w:rPr>
                <w:sz w:val="17"/>
              </w:rPr>
              <w:t>Recessed channel, crossing only</w:t>
            </w:r>
          </w:p>
        </w:tc>
        <w:tc>
          <w:tcPr>
            <w:tcW w:type="dxa" w:w="2016"/>
            <w:vAlign w:val="center"/>
          </w:tcPr>
          <w:p>
            <w:r>
              <w:rPr>
                <w:sz w:val="17"/>
              </w:rPr>
              <w:t>$1,250</w:t>
            </w:r>
          </w:p>
        </w:tc>
        <w:tc>
          <w:tcPr>
            <w:tcW w:type="dxa" w:w="2016"/>
            <w:vAlign w:val="center"/>
          </w:tcPr>
          <w:p>
            <w:r>
              <w:rPr>
                <w:sz w:val="17"/>
              </w:rPr>
              <w:t>$1,750</w:t>
            </w:r>
          </w:p>
        </w:tc>
        <w:tc>
          <w:tcPr>
            <w:tcW w:type="dxa" w:w="2016"/>
            <w:vAlign w:val="center"/>
          </w:tcPr>
          <w:p>
            <w:r>
              <w:rPr>
                <w:sz w:val="17"/>
              </w:rPr>
              <w:t>$2,250</w:t>
            </w:r>
          </w:p>
        </w:tc>
        <w:tc>
          <w:tcPr>
            <w:tcW w:type="dxa" w:w="2016"/>
            <w:vAlign w:val="center"/>
          </w:tcPr>
          <w:p>
            <w:r>
              <w:rPr>
                <w:sz w:val="17"/>
              </w:rPr>
              <w:t>Preferred permanent planning range</w:t>
            </w:r>
          </w:p>
        </w:tc>
      </w:tr>
      <w:tr>
        <w:trPr>
          <w:cantSplit/>
        </w:trPr>
        <w:tc>
          <w:tcPr>
            <w:tcW w:type="dxa" w:w="2016"/>
            <w:vAlign w:val="center"/>
          </w:tcPr>
          <w:p>
            <w:r>
              <w:rPr>
                <w:sz w:val="17"/>
              </w:rPr>
              <w:t>Overhead arm</w:t>
            </w:r>
          </w:p>
        </w:tc>
        <w:tc>
          <w:tcPr>
            <w:tcW w:type="dxa" w:w="2016"/>
            <w:vAlign w:val="center"/>
          </w:tcPr>
          <w:p>
            <w:r>
              <w:rPr>
                <w:sz w:val="17"/>
              </w:rPr>
              <w:t>N/A</w:t>
            </w:r>
          </w:p>
        </w:tc>
        <w:tc>
          <w:tcPr>
            <w:tcW w:type="dxa" w:w="2016"/>
            <w:vAlign w:val="center"/>
          </w:tcPr>
          <w:p>
            <w:r>
              <w:rPr>
                <w:sz w:val="17"/>
              </w:rPr>
              <w:t>N/A</w:t>
            </w:r>
          </w:p>
        </w:tc>
        <w:tc>
          <w:tcPr>
            <w:tcW w:type="dxa" w:w="2016"/>
            <w:vAlign w:val="center"/>
          </w:tcPr>
          <w:p>
            <w:r>
              <w:rPr>
                <w:sz w:val="17"/>
              </w:rPr>
              <w:t>N/A</w:t>
            </w:r>
          </w:p>
        </w:tc>
        <w:tc>
          <w:tcPr>
            <w:tcW w:type="dxa" w:w="2016"/>
            <w:vAlign w:val="center"/>
          </w:tcPr>
          <w:p>
            <w:r>
              <w:rPr>
                <w:sz w:val="17"/>
              </w:rPr>
              <w:t>Do not model until a ROW-suitable product and installation quote exist</w:t>
            </w:r>
          </w:p>
        </w:tc>
      </w:tr>
      <w:tr>
        <w:trPr>
          <w:cantSplit/>
        </w:trPr>
        <w:tc>
          <w:tcPr>
            <w:tcW w:type="dxa" w:w="2016"/>
            <w:vAlign w:val="center"/>
          </w:tcPr>
          <w:p>
            <w:r>
              <w:rPr>
                <w:sz w:val="17"/>
              </w:rPr>
              <w:t>Flat certified cable</w:t>
            </w:r>
          </w:p>
        </w:tc>
        <w:tc>
          <w:tcPr>
            <w:tcW w:type="dxa" w:w="2016"/>
            <w:vAlign w:val="center"/>
          </w:tcPr>
          <w:p>
            <w:r>
              <w:rPr>
                <w:sz w:val="17"/>
              </w:rPr>
              <w:t>N/A</w:t>
            </w:r>
          </w:p>
        </w:tc>
        <w:tc>
          <w:tcPr>
            <w:tcW w:type="dxa" w:w="2016"/>
            <w:vAlign w:val="center"/>
          </w:tcPr>
          <w:p>
            <w:r>
              <w:rPr>
                <w:sz w:val="17"/>
              </w:rPr>
              <w:t>N/A</w:t>
            </w:r>
          </w:p>
        </w:tc>
        <w:tc>
          <w:tcPr>
            <w:tcW w:type="dxa" w:w="2016"/>
            <w:vAlign w:val="center"/>
          </w:tcPr>
          <w:p>
            <w:r>
              <w:rPr>
                <w:sz w:val="17"/>
              </w:rPr>
              <w:t>N/A</w:t>
            </w:r>
          </w:p>
        </w:tc>
        <w:tc>
          <w:tcPr>
            <w:tcW w:type="dxa" w:w="2016"/>
            <w:vAlign w:val="center"/>
          </w:tcPr>
          <w:p>
            <w:r>
              <w:rPr>
                <w:sz w:val="17"/>
              </w:rPr>
              <w:t>Do not model as approved solution until certification is complete</w:t>
            </w:r>
          </w:p>
        </w:tc>
      </w:tr>
    </w:tbl>
    <w:p/>
    <w:p>
      <w:r>
        <w:t>For lifecycle comparisons, the recessed channel should be amortized over a longer period than a removable ramp. A 10-year planning life would translate the $1,750 central crossing cost to about $175 per year before maintenance or financing. The physical channel may last longer, but a 10-year assumption is conservative until Alexandria has field experience.</w:t>
      </w:r>
    </w:p>
    <w:p>
      <w:pPr>
        <w:pStyle w:val="Heading1"/>
      </w:pPr>
      <w:r>
        <w:t>9. Recommended Permit Design</w:t>
      </w:r>
    </w:p>
    <w:p>
      <w:pPr>
        <w:pStyle w:val="ListBullet"/>
      </w:pPr>
      <w:r>
        <w:t>Create one residential cross-curb charging permit covering approved removable ramps and approved recessed channels.</w:t>
      </w:r>
    </w:p>
    <w:p>
      <w:pPr>
        <w:pStyle w:val="ListBullet"/>
      </w:pPr>
      <w:r>
        <w:t>Use a simple site sketch showing property line, sidewalk width, curb, proposed crossing, trees, and visible utilities.</w:t>
      </w:r>
    </w:p>
    <w:p>
      <w:pPr>
        <w:pStyle w:val="ListBullet"/>
      </w:pPr>
      <w:r>
        <w:t>Require Miss Utility marking for any recessed installation and allow T&amp;ES to reject sites with utility or tree conflicts.</w:t>
      </w:r>
    </w:p>
    <w:p>
      <w:pPr>
        <w:pStyle w:val="ListBullet"/>
      </w:pPr>
      <w:r>
        <w:t>Adopt one standard channel detail for ordinary concrete sidewalk, including approved width, depth, bedding, finish, skid resistance, and restoration.</w:t>
      </w:r>
    </w:p>
    <w:p>
      <w:pPr>
        <w:pStyle w:val="ListBullet"/>
      </w:pPr>
      <w:r>
        <w:t>Allow either a City-approved contractor list or contractors meeting defined insurance and competency requirements.</w:t>
      </w:r>
    </w:p>
    <w:p>
      <w:pPr>
        <w:pStyle w:val="ListBullet"/>
      </w:pPr>
      <w:r>
        <w:t>Replace general excavation bonding with a smaller standardized security amount appropriate to a short residential sidewalk cut, or use a City contractor at a published fixed price.</w:t>
      </w:r>
    </w:p>
    <w:p>
      <w:pPr>
        <w:pStyle w:val="ListBullet"/>
      </w:pPr>
      <w:r>
        <w:t>Require final inspection and define maintenance responsibility clearly.</w:t>
      </w:r>
    </w:p>
    <w:p>
      <w:pPr>
        <w:pStyle w:val="ListBullet"/>
      </w:pPr>
      <w:r>
        <w:t>Avoid annual fees unless they recover an identifiable recurring City cost. A permanent flush channel should not become artificially uneconomic through administrative charges.</w:t>
      </w:r>
    </w:p>
    <w:p>
      <w:pPr>
        <w:pStyle w:val="Heading1"/>
      </w:pPr>
      <w:r>
        <w:t>10. What We Still Need to Know</w:t>
      </w:r>
    </w:p>
    <w:p>
      <w:r>
        <w:t>The most valuable next step is not another national cost survey. It is a local quote. Alexandria could ask its existing sidewalk/curb contractor for a unit price to install a standard 3- to 4-foot EV cable channel in an ordinary concrete sidewalk, either individually or in batches of 10, 25, and 50. Batch pricing matters because the UK evidence and basic construction economics both suggest that mobilization is a major component of the cost.</w:t>
      </w:r>
    </w:p>
    <w:p>
      <w:r>
        <w:t>A pilot of even five to ten installations would answer the remaining questions: actual crew time, sidewalk-restoration method, utility-conflict frequency, inspection burden, accessibility performance, resident maintenance, and true Alexandria installed cost.</w:t>
      </w:r>
    </w:p>
    <w:p>
      <w:pPr>
        <w:pStyle w:val="Heading1"/>
      </w:pPr>
      <w:r>
        <w:t>References</w:t>
      </w:r>
    </w:p>
    <w:p>
      <w:r>
        <w:rPr>
          <w:b/>
        </w:rPr>
        <w:t xml:space="preserve">1. </w:t>
      </w:r>
      <w:r>
        <w:t>City of Alexandria, Permit Guidelines - Transportation &amp; Environmental Services (updated March 5, 2026): right-of-way and excavation requirements, fees, utility marking, inspection, and bonding. https://alexandriava.gov/permits/permit-guidelines-transportation-environmental-services</w:t>
      </w:r>
    </w:p>
    <w:p>
      <w:r>
        <w:rPr>
          <w:b/>
        </w:rPr>
        <w:t xml:space="preserve">2. </w:t>
      </w:r>
      <w:r>
        <w:t>City of Alexandria, 2022 Design &amp; Construction Standards update and standard sidewalk details: pedestrian concrete sidewalk thickness and joint details. https://www.alexandriava.gov/sites/default/files/2023-01/TES%20Memo%20to%20Industry%2023-01%20%202022%20Design%20and%20Construction%20Standards%20Update.pdf</w:t>
      </w:r>
    </w:p>
    <w:p>
      <w:r>
        <w:rPr>
          <w:b/>
        </w:rPr>
        <w:t xml:space="preserve">3. </w:t>
      </w:r>
      <w:r>
        <w:t>UK Department for Transport, Cross-pavement solutions for charging electric vehicles: solution types, local-authority process, costs, maintenance, and safety considerations. https://www.gov.uk/government/publications/cross-pavement-solutions-for-charging-electric-vehicles/cross-pavement-solutions-for-charging-electric-vehicles</w:t>
      </w:r>
    </w:p>
    <w:p>
      <w:r>
        <w:rPr>
          <w:b/>
        </w:rPr>
        <w:t xml:space="preserve">4. </w:t>
      </w:r>
      <w:r>
        <w:t>London Councils, Electric Vehicle Revolution Hits the Pavement (2025): typical cross-pavement installation time of 1.5-3 hours and installation cost of GBP 1,000-1,500. https://www.londoncouncils.gov.uk/news-and-press-releases/2025/electric-vehicle-revolution-hits-pavement-new-guidance-tackles-trip</w:t>
      </w:r>
    </w:p>
    <w:p>
      <w:r>
        <w:rPr>
          <w:b/>
        </w:rPr>
        <w:t xml:space="preserve">5. </w:t>
      </w:r>
      <w:r>
        <w:t>Kerbo Charge, private installations and pricing: supply-only units from GBP 379 ex VAT; installed systems from GBP 999; 3m channel listed at GBP 449. https://www.kerbocharge.com/privateorders and https://www.kerbocharge.com/pricing</w:t>
      </w:r>
    </w:p>
    <w:p>
      <w:r>
        <w:rPr>
          <w:b/>
        </w:rPr>
        <w:t xml:space="preserve">6. </w:t>
      </w:r>
      <w:r>
        <w:t>Cambridgeshire County Council, EV cable channel trial: average channel about GBP 1,000 plus license and charger costs. https://www.cambridgeshire.gov.uk/residents/travel-roads-and-parking/roads-and-pathways/electric-vehicle-charging/electric-vehicle-cable-channel-trial</w:t>
      </w:r>
    </w:p>
    <w:p>
      <w:r>
        <w:rPr>
          <w:b/>
        </w:rPr>
        <w:t xml:space="preserve">7. </w:t>
      </w:r>
      <w:r>
        <w:t>Bracknell Forest Council, cross-pavement charging gullies: typical installation around GBP 1,650. https://www.bracknell-forest.gov.uk/roads-parking-and-transport/travel-and-public-transport/electric-vehicles/cross-pavement-charging-gullies</w:t>
      </w:r>
    </w:p>
    <w:p>
      <w:r>
        <w:rPr>
          <w:b/>
        </w:rPr>
        <w:t xml:space="preserve">8. </w:t>
      </w:r>
      <w:r>
        <w:t>EV Hover, wall-mounted EV charging cable arm: current product price approximately $299. https://evhover.com/</w:t>
      </w:r>
    </w:p>
    <w:p>
      <w:r>
        <w:rPr>
          <w:b/>
        </w:rPr>
        <w:t xml:space="preserve">9. </w:t>
      </w:r>
      <w:r>
        <w:t>Electrek, ChargeArm overhead EV charging arm overview (2023). https://electrek.co/2023/04/17/overhead-ev-charging-arm-chargearm/</w:t>
      </w:r>
    </w:p>
    <w:p>
      <w:r>
        <w:rPr>
          <w:b/>
        </w:rPr>
        <w:t xml:space="preserve">10. </w:t>
      </w:r>
      <w:r>
        <w:t>GhostAllAccess, U.S. flat EV products: extension cable $399; portable cable $599; UL/CSA/ETL certification stated as underway. https://store.ghostallaccess.com/products/cable-extension</w:t>
      </w:r>
    </w:p>
    <w:p>
      <w:r>
        <w:rPr>
          <w:b/>
        </w:rPr>
        <w:t xml:space="preserve">11. </w:t>
      </w:r>
      <w:r>
        <w:t>UL Standards &amp; Engagement, UL 2263 Electric Vehicle Cable, active standard revised April 17, 2026. https://www.shopulstandards.com/ProductDetail.aspx?UniqueKey=42716</w:t>
      </w:r>
    </w:p>
    <w:p>
      <w:r>
        <w:rPr>
          <w:b/>
        </w:rPr>
        <w:t xml:space="preserve">12. </w:t>
      </w:r>
      <w:r>
        <w:t>HomeAdvisor, 2026 home EV charging installation cost benchmark. https://www.homeadvisor.com/cost/garages/install-an-electric-vehicle-charging-station/</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Cross-Curb EV Charging in Alexandria | Working paper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